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67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2792095</wp:posOffset>
            </wp:positionV>
            <wp:extent cx="100330" cy="1403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498" w:leader="none"/>
        </w:tabs>
        <w:spacing w:lineRule="auto" w:line="240" w:before="0" w:after="0"/>
        <w:ind w:right="576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9498" w:leader="none"/>
        </w:tabs>
        <w:spacing w:lineRule="auto" w:line="240" w:before="0" w:after="0"/>
        <w:ind w:right="576" w:hanging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Содержание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tbl>
      <w:tblPr>
        <w:tblW w:w="9858" w:type="dxa"/>
        <w:jc w:val="left"/>
        <w:tblInd w:w="-85" w:type="dxa"/>
        <w:tblCellMar>
          <w:top w:w="0" w:type="dxa"/>
          <w:left w:w="2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797"/>
        <w:gridCol w:w="1060"/>
      </w:tblGrid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Паспорт Программы 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</w:tr>
      <w:tr>
        <w:trPr>
          <w:trHeight w:val="920" w:hRule="atLeast"/>
        </w:trPr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 Характеристика системы дошкольного образования МБДОУ Детский сад «Аленький цветочек» с.Ангасяк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4-13</w:t>
            </w:r>
          </w:p>
        </w:tc>
      </w:tr>
      <w:tr>
        <w:trPr>
          <w:trHeight w:val="920" w:hRule="atLeast"/>
        </w:trPr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2.Проблемно-ориентировочный анализ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tabs>
                <w:tab w:val="clear" w:pos="708"/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3. Цель и задачи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tabs>
                <w:tab w:val="clear" w:pos="708"/>
                <w:tab w:val="left" w:pos="5600" w:leader="none"/>
              </w:tabs>
              <w:overflowPunct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0"/>
                <w:w w:val="10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>4. Сроки и этапы реализации</w:t>
            </w:r>
            <w:r>
              <w:rPr>
                <w:rFonts w:eastAsia="Times New Roman" w:cs="Times New Roman" w:ascii="Times New Roman" w:hAnsi="Times New Roman"/>
                <w:spacing w:val="0"/>
                <w:w w:val="102"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5. Ресурсное обеспечение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6. План реализации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 xml:space="preserve">7. Оценка эффективности реализации Программы 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pacing w:val="12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12"/>
                <w:sz w:val="28"/>
                <w:szCs w:val="28"/>
                <w:lang w:eastAsia="ru-RU"/>
              </w:rPr>
              <w:t>8. Приложения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>
        <w:trPr/>
        <w:tc>
          <w:tcPr>
            <w:tcW w:w="8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Список использованных сокращений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            </w:t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   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/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Па</w:t>
      </w:r>
      <w:r>
        <w:rPr>
          <w:rFonts w:eastAsia="Times New Roman" w:cs="Times New Roman" w:ascii="Times New Roman" w:hAnsi="Times New Roman"/>
          <w:b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ор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b/>
          <w:spacing w:val="3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про</w:t>
      </w:r>
      <w:r>
        <w:rPr>
          <w:rFonts w:eastAsia="Times New Roman" w:cs="Times New Roman" w:ascii="Times New Roman" w:hAnsi="Times New Roman"/>
          <w:b/>
          <w:spacing w:val="2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ммы развития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w w:val="102"/>
          <w:sz w:val="28"/>
          <w:szCs w:val="28"/>
          <w:u w:val="single"/>
          <w:lang w:eastAsia="ru-RU"/>
        </w:rPr>
        <w:t xml:space="preserve">муниципального бюджетного  дошкольного образовательного учреждения 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/>
      </w:pPr>
      <w:r>
        <w:rPr>
          <w:rFonts w:eastAsia="Times New Roman" w:cs="Times New Roman" w:ascii="Times New Roman" w:hAnsi="Times New Roman"/>
          <w:w w:val="102"/>
          <w:sz w:val="28"/>
          <w:szCs w:val="28"/>
          <w:u w:val="single"/>
          <w:lang w:eastAsia="ru-RU"/>
        </w:rPr>
        <w:t>Детский сад «Аленький цветочек» села Ангасяк муниципального района Дюртюлинский район Республики Башкортостан на 2021-2023 годы»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</w:r>
    </w:p>
    <w:tbl>
      <w:tblPr>
        <w:tblW w:w="9986" w:type="dxa"/>
        <w:jc w:val="center"/>
        <w:tblInd w:w="0" w:type="dxa"/>
        <w:tblCellMar>
          <w:top w:w="0" w:type="dxa"/>
          <w:left w:w="2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123"/>
        <w:gridCol w:w="7862"/>
      </w:tblGrid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Основание для разработки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 xml:space="preserve">Федеральный закон №273-ФЗ от 29.12.2012г.  «Об образовании в Российской Федерации»,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Закон РБ №696-з от 01.07.2013г. «Об образовании в Республике Башкортостан»;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Долгосрочная целевая программа «Развитие образования Республики Башкортостан» на 2013-2025 годы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Ответственный исполнитель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Муниципальное бюджетное  дошкольное образовательное учреждение Детский сад «Аленький цветочек» села Ангасяк муниципального района Дюртюлинский район Республики Башкортостан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Цели и задачи 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Цель: обеспечение доступности качественного образования, соответствующего требованиям  инновационного развития района, позволяющего максимально эффективно использовать человеческий потенциал и создать условия для самореализации  граждан в течение всей жизни.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 xml:space="preserve">Задачи: 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модернизация систем дошкольного образования как институт социального развития;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укрепление материально-технической базы системы образования за счет реконструкции существующих объектов образования;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- развитие кадрового потенциала сферы образования и системы государственной поддержки   педагогических работников;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Сроки и   этапы реализации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  <w:t>2021-2023 годы без деления на этапы</w:t>
            </w:r>
          </w:p>
        </w:tc>
      </w:tr>
      <w:tr>
        <w:trPr/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Важнейшие целевые индикаторы и показатели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доступность дошкольного образования для детей в возрасте </w:t>
              <w:br/>
              <w:t>от полутора до семи лет в Учреждении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w w:val="102"/>
                <w:sz w:val="26"/>
                <w:szCs w:val="26"/>
                <w:lang w:eastAsia="ru-RU"/>
              </w:rPr>
            </w:r>
          </w:p>
        </w:tc>
      </w:tr>
      <w:tr>
        <w:trPr>
          <w:trHeight w:val="3458" w:hRule="atLeast"/>
        </w:trPr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 xml:space="preserve">Объем финансирования Программы составляет </w:t>
            </w:r>
            <w:r>
              <w:rPr>
                <w:rFonts w:eastAsia="Times New Roman" w:cs="Times New Roman" w:ascii="Times New Roman" w:hAnsi="Times New Roman"/>
                <w:b/>
                <w:spacing w:val="3"/>
                <w:w w:val="102"/>
                <w:sz w:val="26"/>
                <w:szCs w:val="26"/>
                <w:lang w:eastAsia="ru-RU"/>
              </w:rPr>
              <w:t xml:space="preserve">                    </w:t>
            </w: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 xml:space="preserve">                          13612 тыс.рублей, 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из них по годам: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2021 году –   4529  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2022году- 4534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2023 году- 4549  тыс.руб;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>
                <w:rFonts w:ascii="Times New Roman" w:hAnsi="Times New Roman" w:eastAsia="Times New Roman" w:cs="Times New Roman"/>
                <w:spacing w:val="3"/>
                <w:w w:val="102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 том числе за счет средств: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а)  муниципального бюджета  4129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б) бюджета Республики Башкортостан 8524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в) федерального бюджета      - тыс.руб.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pacing w:val="3"/>
                <w:w w:val="102"/>
                <w:sz w:val="26"/>
                <w:szCs w:val="26"/>
                <w:lang w:eastAsia="ru-RU"/>
              </w:rPr>
              <w:t>г) внебюджетных средств 960  тыс.руб.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</w:tr>
      <w:tr>
        <w:trPr>
          <w:trHeight w:val="120" w:hRule="atLeast"/>
        </w:trPr>
        <w:tc>
          <w:tcPr>
            <w:tcW w:w="21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rPr/>
            </w:pPr>
            <w:r>
              <w:rPr/>
            </w:r>
          </w:p>
        </w:tc>
        <w:tc>
          <w:tcPr>
            <w:tcW w:w="7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0" w:hanging="0"/>
              <w:jc w:val="both"/>
              <w:rPr/>
            </w:pPr>
            <w:r>
              <w:rPr/>
              <w:t xml:space="preserve">        </w:t>
            </w:r>
          </w:p>
        </w:tc>
      </w:tr>
    </w:tbl>
    <w:p>
      <w:pPr>
        <w:sectPr>
          <w:type w:val="nextPage"/>
          <w:pgSz w:w="11906" w:h="16838"/>
          <w:pgMar w:left="1701" w:right="567" w:header="0" w:top="1134" w:footer="0" w:bottom="1134" w:gutter="0"/>
          <w:pgNumType w:fmt="decimal"/>
          <w:formProt w:val="false"/>
          <w:textDirection w:val="lrTb"/>
          <w:docGrid w:type="default" w:linePitch="299" w:charSpace="0"/>
        </w:sectPr>
      </w:pPr>
    </w:p>
    <w:p>
      <w:pPr>
        <w:pStyle w:val="Normal"/>
        <w:widowControl w:val="false"/>
        <w:spacing w:lineRule="auto" w:line="240" w:before="0" w:after="0"/>
        <w:ind w:right="0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1.Характеристика  системы дошкольного образования МБДОУ Детский сад «Аленький цветочек» с. Ангасяк</w:t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right="0" w:hanging="15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1.1. Общая характеристика образовательного учреждения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Районная Программа развития образования на 2021-2023 годы (далее Программа) определяет стратегию приоритетного развития системы дошкольного образования и меры ее реализации. </w:t>
      </w:r>
    </w:p>
    <w:p>
      <w:pPr>
        <w:pStyle w:val="Normal"/>
        <w:keepNext w:val="true"/>
        <w:widowControl w:val="false"/>
        <w:suppressAutoHyphens w:val="true"/>
        <w:spacing w:lineRule="auto" w:line="240" w:before="0" w:after="0"/>
        <w:jc w:val="both"/>
        <w:rPr>
          <w:rFonts w:ascii="Times New Roman" w:hAnsi="Times New Roman" w:eastAsia="Arial Unicode MS" w:cs="Times New Roman"/>
          <w:sz w:val="28"/>
          <w:szCs w:val="28"/>
          <w:lang w:eastAsia="zh-CN" w:bidi="hi-IN"/>
        </w:rPr>
      </w:pPr>
      <w:r>
        <w:rPr>
          <w:rFonts w:eastAsia="Arial Unicode MS" w:cs="Times New Roman" w:ascii="Times New Roman" w:hAnsi="Times New Roman"/>
          <w:sz w:val="28"/>
          <w:szCs w:val="28"/>
          <w:lang w:eastAsia="zh-CN" w:bidi="hi-IN"/>
        </w:rPr>
        <w:tab/>
        <w:t xml:space="preserve">Программа разработана с учетом основных федеральных и республиканских тенденций развития системы дошкольного образования. </w:t>
      </w:r>
    </w:p>
    <w:p>
      <w:pPr>
        <w:pStyle w:val="Normal"/>
        <w:overflowPunct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Программа обеспечивает преемственность всех структур и звеньев системы дошкольного образования района и направлена на развитие личности воспитанников, формирование предпосылок учебной деятельности, сохранение и укрепление здоровья воспитанников.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«Аленький цветочек» села Ангасяк относится к типу: дошкольное образовательное учреждение, виду: детский сад, реализует общеобразовательную программу дошкольного образования.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МБДОУ Детский сад  «Аленький цветочек» с. Ангасяк осуществляет свою деятельность на основании: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лицензии  Серия 02Л01 № 0000207, регистрационный № 1597 от 14.11.2012 г.;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Вид права: Оперативное управление.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Официальное наименование Учреждения: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полное: муниципальное бюджетное дошкольное образовательное учреждение Детский сад «Аленький цветочек» села Ангасяк муниципального района Дюртюлинский район Республики Башкортостан;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сокращенное: МБДОУ Детский сад  «Аленький цветочек» с. Ангасяк.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Место нахождения Учреждения: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юридический адрес Учреждения: 452303, Республика Башкортостан, Дюртюлинский район, с.Ангасяк, ул.Чиглинцева.7 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фактический адрес Учреждения: 452303, Республика Башкортостан, Дюртюлинский район,с.Ангасяк,ул.Чиглинцева.7 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Учреждение является некоммерческой бюджетной организацией, созданной для выполнения работ, оказания услуг в целях осуществления предусмотренных законодательством Российской Федерации полномочий администрации муниципального района Дюртюлинский район Республики Башкортостан в сфере дошкольного образования детей.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Телефон 8 (34787)66-4-22;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адрес сайта:  svetochek.02.edu.ru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Учредитель ДОУ - администрация муниципального района Дюртюлинский район Республики Башкортостан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воспитывается 80 детей. На основании Устава МБДОУ детский сад работает в 10-часовом режиме (с 8.00 до 18.00), при пятидневной рабочей неделе, выходные дни – суббота и воскресенье.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МБДОУ Детский сад  «Аленький цветочек»  с.Ангасяк осуществляет деятельность, определенную Уставом муниципального дошкольного образовательного учреждения.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Одной из основных проблем развития системы дошкольного образования  района  является высокая степень износа материально-технической базы образовательного  учреждения.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связи с тем, что  здание построено в 1986г,   износ составляет 32%.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Здание детского сада типовое, кирпичное, двухэтажное. Учреждение рассчитано на 4 групп. В настоящее время функционирует 3 группы. Имеются все виды благоустройства: центральное водоснабжение, центральное отопление, канализация шамбо. В ДОУ имеется  медицинский кабинет (состоящий из приемной, изолятора, процедурной).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Недостаточно оснащены современным оборудованием  пищеблок. Особого внимания требуют вопросы обеспечения комплексной безопасности образовательного учреждения.</w:t>
      </w:r>
    </w:p>
    <w:p>
      <w:pPr>
        <w:pStyle w:val="Normal"/>
        <w:overflowPunct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В связи с введением в образовательный процесс федеральных государственных образовательных стандартов, использованием информационно-коммуникационных и других технологий предъявляются новые требования к квалификационному уровню педагогов. </w:t>
        <w:tab/>
      </w:r>
    </w:p>
    <w:p>
      <w:pPr>
        <w:pStyle w:val="Normal"/>
        <w:overflowPunct w:val="false"/>
        <w:spacing w:lineRule="auto" w:line="240" w:before="0" w:after="0"/>
        <w:jc w:val="both"/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Чтобы обеспечить развитие талантливых и творчески работающих педагогов, распространить их успешный опыт ежегодно проводятся конкурсы профессионального мастерства: «Воспитатель года» и др. </w:t>
      </w:r>
    </w:p>
    <w:p>
      <w:pPr>
        <w:pStyle w:val="Normal"/>
        <w:keepNext w:val="true"/>
        <w:widowControl w:val="false"/>
        <w:suppressAutoHyphens w:val="true"/>
        <w:snapToGrid w:val="false"/>
        <w:spacing w:lineRule="auto" w:line="240" w:before="0" w:after="0"/>
        <w:jc w:val="both"/>
        <w:textAlignment w:val="baseline"/>
        <w:rPr/>
      </w:pPr>
      <w:r>
        <w:rPr>
          <w:rFonts w:eastAsia="Arial Unicode MS" w:cs="Times New Roman" w:ascii="Times New Roman" w:hAnsi="Times New Roman"/>
          <w:sz w:val="28"/>
          <w:szCs w:val="28"/>
          <w:lang w:eastAsia="zh-CN" w:bidi="hi-IN"/>
        </w:rPr>
        <w:tab/>
      </w:r>
      <w:r>
        <w:rPr>
          <w:rFonts w:eastAsia="Arial Unicode MS" w:cs="Times New Roman" w:ascii="Times New Roman" w:hAnsi="Times New Roman"/>
          <w:bCs/>
          <w:w w:val="102"/>
          <w:sz w:val="28"/>
          <w:szCs w:val="28"/>
          <w:lang w:eastAsia="zh-CN" w:bidi="hi-IN"/>
        </w:rPr>
        <w:t xml:space="preserve">В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Учреждении установлена  автоматическая пожарная сигнализация, кнопка экстренного вызова наряда полиции и имеется дневная охрана</w:t>
      </w:r>
      <w:r>
        <w:rPr>
          <w:rFonts w:eastAsia="Arial Unicode MS" w:cs="Times New Roman" w:ascii="Times New Roman" w:hAnsi="Times New Roman"/>
          <w:bCs/>
          <w:w w:val="102"/>
          <w:sz w:val="28"/>
          <w:szCs w:val="28"/>
          <w:lang w:eastAsia="zh-CN" w:bidi="hi-IN"/>
        </w:rPr>
        <w:t>.</w:t>
      </w:r>
    </w:p>
    <w:p>
      <w:pPr>
        <w:pStyle w:val="Normal"/>
        <w:overflowPunct w:val="false"/>
        <w:spacing w:lineRule="auto" w:line="240" w:before="0" w:after="0"/>
        <w:ind w:right="4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Стратегической задачей 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является совершенствование  и развитие информационно-технологической базы учреждения, повышение информационных компетенций педагогических работников, внедрение современных методов обучения  на базе ИКТ. </w:t>
      </w: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>Учреждение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 имеет стабильный доступ к информационным ресурсам,  круглосуточный доступ к сети Интернет на любые образовательные порталы.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w w:val="102"/>
          <w:sz w:val="28"/>
          <w:szCs w:val="28"/>
          <w:lang w:eastAsia="ru-RU" w:bidi="hi-IN"/>
        </w:rPr>
        <w:t xml:space="preserve">Учреждение </w:t>
      </w:r>
      <w:r>
        <w:rPr>
          <w:rFonts w:eastAsia="Gungsuh" w:cs="Times New Roman" w:ascii="Times New Roman" w:hAnsi="Times New Roman"/>
          <w:sz w:val="28"/>
          <w:szCs w:val="28"/>
          <w:lang w:eastAsia="ru-RU"/>
        </w:rPr>
        <w:t>проводит целенаправленную работу по организации  отдыха и оздоровления воспитанников.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Таким образом, определяя перспективы развития дошкольного образования в районе с учетом современных реалий социально-экономической, социально-политической, этнокультурной и общественной жизни, необходимо опираться на следующие базовые приоритеты развития российского дошкольного образования: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–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воспитанников;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1080" w:leader="none"/>
        </w:tabs>
        <w:spacing w:lineRule="auto" w:line="240" w:before="0" w:after="0"/>
        <w:ind w:firstLine="709"/>
        <w:jc w:val="both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–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разностороннее развитие воспитанников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воспитанникам и специфичных для детей дошкольного возраста видов деятельности.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Реализация этих мероприятий предполагает решение ряда приоритетных задач в сфере образования района: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-охрана и укрепление физического и психического здоровья воспитанников, в том числе их эмоционального благополучия;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образования;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-создание благоприятных условий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как субъекта отношений с самим собой, другими воспитанниками, взрослыми и миром;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-формирование социокультурной среды, соответствующей возрастным, индивидуальным, психологическим и физиологическим особенностям воспитанников;</w:t>
      </w:r>
    </w:p>
    <w:p>
      <w:pPr>
        <w:pStyle w:val="Normal"/>
        <w:widowControl w:val="false"/>
        <w:tabs>
          <w:tab w:val="clear" w:pos="708"/>
          <w:tab w:val="left" w:pos="1080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воспитанников.</w:t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1.2. Сведения о детях.</w:t>
      </w:r>
    </w:p>
    <w:p>
      <w:pPr>
        <w:pStyle w:val="Normal"/>
        <w:shd w:val="clear" w:color="auto" w:fill="FFFFFF"/>
        <w:spacing w:lineRule="auto" w:line="240" w:beforeAutospacing="1" w:afterAutospacing="1"/>
        <w:ind w:firstLine="708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Контингент детей формируется в соответствии с их возрастом. Комплектование контингента детей осуществляется на основании Устава МБДОУ Детский сад «Аленький цветочек» с.Ангасяк, Правил приема детей в дошкольное образовательное учреждение.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функционирует 3 группы:</w:t>
      </w:r>
    </w:p>
    <w:tbl>
      <w:tblPr>
        <w:tblW w:w="9400" w:type="dxa"/>
        <w:jc w:val="left"/>
        <w:tblInd w:w="-113" w:type="dxa"/>
        <w:tblCellMar>
          <w:top w:w="30" w:type="dxa"/>
          <w:left w:w="7" w:type="dxa"/>
          <w:bottom w:w="30" w:type="dxa"/>
          <w:right w:w="14" w:type="dxa"/>
        </w:tblCellMar>
        <w:tblLook w:noVBand="0" w:val="00a0" w:noHBand="0" w:lastColumn="0" w:firstColumn="1" w:lastRow="0" w:firstRow="1"/>
      </w:tblPr>
      <w:tblGrid>
        <w:gridCol w:w="6909"/>
        <w:gridCol w:w="2490"/>
      </w:tblGrid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Группа, возраст детей</w:t>
            </w:r>
          </w:p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детей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Вторая группа раннего возраста– дети от 2 до 3 лет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Средняя группа – дети от 4 до 5 лет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Старшая группа – дети от 5 до 6 лет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>
        <w:trPr/>
        <w:tc>
          <w:tcPr>
            <w:tcW w:w="6909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9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Характеристика детей по состоянию здоровья:</w:t>
      </w:r>
    </w:p>
    <w:tbl>
      <w:tblPr>
        <w:tblW w:w="4700" w:type="pct"/>
        <w:jc w:val="left"/>
        <w:tblInd w:w="-85" w:type="dxa"/>
        <w:tblCellMar>
          <w:top w:w="0" w:type="dxa"/>
          <w:left w:w="2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992"/>
        <w:gridCol w:w="1406"/>
        <w:gridCol w:w="1410"/>
        <w:gridCol w:w="1416"/>
        <w:gridCol w:w="1410"/>
        <w:gridCol w:w="1424"/>
      </w:tblGrid>
      <w:tr>
        <w:trPr/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I группа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 w:eastAsia="ru-RU"/>
              </w:rPr>
              <w:t>IV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</w:tc>
      </w:tr>
      <w:tr>
        <w:trPr/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2020 - 2021</w:t>
            </w:r>
          </w:p>
        </w:tc>
        <w:tc>
          <w:tcPr>
            <w:tcW w:w="14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 физическому развитию:</w:t>
      </w:r>
    </w:p>
    <w:tbl>
      <w:tblPr>
        <w:tblW w:w="4700" w:type="pct"/>
        <w:jc w:val="left"/>
        <w:tblInd w:w="-85" w:type="dxa"/>
        <w:tblCellMar>
          <w:top w:w="0" w:type="dxa"/>
          <w:left w:w="2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466"/>
        <w:gridCol w:w="1908"/>
        <w:gridCol w:w="1908"/>
        <w:gridCol w:w="1906"/>
        <w:gridCol w:w="1871"/>
      </w:tblGrid>
      <w:tr>
        <w:trPr/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Ниже среднего</w:t>
            </w:r>
          </w:p>
        </w:tc>
        <w:tc>
          <w:tcPr>
            <w:tcW w:w="1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Контингент </w:t>
            </w:r>
          </w:p>
        </w:tc>
      </w:tr>
      <w:tr>
        <w:trPr/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78 %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13 %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2 %</w:t>
            </w:r>
          </w:p>
        </w:tc>
        <w:tc>
          <w:tcPr>
            <w:tcW w:w="1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</w:tr>
      <w:tr>
        <w:trPr/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75 %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16 %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1 %</w:t>
            </w:r>
          </w:p>
        </w:tc>
        <w:tc>
          <w:tcPr>
            <w:tcW w:w="1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</w:tr>
      <w:tr>
        <w:trPr/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/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  <w:lang w:eastAsia="ru-RU"/>
              </w:rPr>
              <w:t>2020 - 2021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19 %</w:t>
            </w:r>
          </w:p>
        </w:tc>
        <w:tc>
          <w:tcPr>
            <w:tcW w:w="19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1.3. Кадровое обеспечение.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Общее количество педагогических работников –6: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них административный персонал: - 1 человек;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 них педагогический персонал:- 5 человек;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Сведения о педагогических работниках.</w:t>
      </w:r>
    </w:p>
    <w:tbl>
      <w:tblPr>
        <w:tblW w:w="8835" w:type="dxa"/>
        <w:jc w:val="left"/>
        <w:tblInd w:w="-113" w:type="dxa"/>
        <w:tblCellMar>
          <w:top w:w="30" w:type="dxa"/>
          <w:left w:w="7" w:type="dxa"/>
          <w:bottom w:w="30" w:type="dxa"/>
          <w:right w:w="14" w:type="dxa"/>
        </w:tblCellMar>
        <w:tblLook w:noVBand="0" w:val="00a0" w:noHBand="0" w:lastColumn="0" w:firstColumn="1" w:lastRow="0" w:firstRow="1"/>
      </w:tblPr>
      <w:tblGrid>
        <w:gridCol w:w="4770"/>
        <w:gridCol w:w="4064"/>
      </w:tblGrid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образованию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 человека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 законченное высшее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 человека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Без образования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категории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Первая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 человек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Вторая квалификационная категория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8834" w:type="dxa"/>
            <w:gridSpan w:val="2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По стажу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Менее 5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 человек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>
        <w:trPr/>
        <w:tc>
          <w:tcPr>
            <w:tcW w:w="477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 15 и более  лет</w:t>
            </w:r>
          </w:p>
        </w:tc>
        <w:tc>
          <w:tcPr>
            <w:tcW w:w="406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Участие сотрудников ДОУ в системе переподготовки и повышения квалификации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2"/>
          <w:szCs w:val="22"/>
          <w:lang w:eastAsia="ru-RU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ru-RU"/>
        </w:rPr>
      </w:r>
    </w:p>
    <w:tbl>
      <w:tblPr>
        <w:tblW w:w="9747" w:type="dxa"/>
        <w:jc w:val="left"/>
        <w:tblInd w:w="-85" w:type="dxa"/>
        <w:tblCellMar>
          <w:top w:w="0" w:type="dxa"/>
          <w:left w:w="2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421"/>
        <w:gridCol w:w="2083"/>
        <w:gridCol w:w="1697"/>
        <w:gridCol w:w="1560"/>
        <w:gridCol w:w="3121"/>
        <w:gridCol w:w="864"/>
      </w:tblGrid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4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Батыргареева Р.Н.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Заведующий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ГБПОУ УМПК г.УФА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ЧОУДПО ИПО «Респект»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226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226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«Современные подходы к организации педагогического процесса в дошкольных образовательных организациях в условиях ФГОС дошкольного образования»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 Государственные и муниципальные закупки в соответствии с законом №44-ФЗ «О Контрактной системе.»</w:t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2018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2020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</w:tr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ind w:left="24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pacing w:val="0"/>
                <w:sz w:val="22"/>
                <w:szCs w:val="22"/>
                <w:lang w:eastAsia="ru-RU"/>
              </w:rPr>
              <w:t>Аслямова А.Ф.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0" w:before="0" w:after="0"/>
              <w:ind w:right="77" w:firstLine="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0"/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4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УМПК</w:t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197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197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197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197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4" w:before="0" w:after="0"/>
              <w:ind w:right="197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УМПК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0" w:before="0" w:after="0"/>
              <w:ind w:right="11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«Совершенствование целостного педагогического процесса в  дошкольных образовательных организациях в условиях реализации  ФГОС дошкольного образования »</w:t>
            </w:r>
          </w:p>
          <w:p>
            <w:pPr>
              <w:pStyle w:val="Normal"/>
              <w:shd w:val="clear" w:color="auto" w:fill="FFFFFF"/>
              <w:spacing w:lineRule="exact" w:line="250" w:before="0" w:after="0"/>
              <w:ind w:right="110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50" w:before="0" w:after="0"/>
              <w:ind w:right="11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«Обучение педагогических работников навыкам оказания первой помощи»</w:t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2018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2018</w:t>
            </w:r>
          </w:p>
        </w:tc>
      </w:tr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Шаймухаметова Л.Р.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0"/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УМПК</w:t>
            </w:r>
          </w:p>
          <w:p>
            <w:pPr>
              <w:pStyle w:val="Normal"/>
              <w:shd w:val="clear" w:color="auto" w:fill="FFFFFF"/>
              <w:spacing w:lineRule="exact" w:line="250" w:before="0" w:after="0"/>
              <w:ind w:right="20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«Совершенствование целостного педагогического процесса в  дошкольных образовательных организациях в условиях реализации  ФГОС дошкольного образования 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right="110" w:firstLine="5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«Обучение педагогических работников навыкам оказания первой помощи»</w:t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2018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2018</w:t>
            </w:r>
          </w:p>
        </w:tc>
      </w:tr>
      <w:tr>
        <w:trPr>
          <w:trHeight w:val="138" w:hRule="atLeast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pacing w:val="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0"/>
                <w:sz w:val="22"/>
                <w:szCs w:val="22"/>
                <w:lang w:eastAsia="ru-RU"/>
              </w:rPr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54" w:before="0" w:after="0"/>
              <w:ind w:right="226" w:firstLine="5"/>
              <w:jc w:val="both"/>
              <w:rPr>
                <w:rFonts w:ascii="Times New Roman" w:hAnsi="Times New Roman" w:eastAsia="Times New Roman" w:cs="Times New Roman"/>
                <w:spacing w:val="0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pacing w:val="0"/>
                <w:sz w:val="22"/>
                <w:szCs w:val="22"/>
                <w:lang w:eastAsia="ru-RU"/>
              </w:rPr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Овчинникова Л.В.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bookmarkStart w:id="0" w:name="__DdeLink__2938_573944940"/>
            <w:bookmarkEnd w:id="0"/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УМПК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«Обучение педагогических работников навыкам оказания первой помощи»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«Инклюзивное образование детей дошкольного возраста в условиях реализации федерального государственного образовательного стандарта»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2018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2019</w:t>
            </w:r>
          </w:p>
        </w:tc>
      </w:tr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Чикирева Н.А.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УМПК</w:t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ГБПОУ УМПК г.Уфа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bookmarkStart w:id="1" w:name="__DdeLink__2828_906975717"/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«Обучение педагогических работников навыкам оказания первой помощи»</w:t>
            </w:r>
            <w:bookmarkEnd w:id="1"/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«Инклюзивное образование детей дошкольного возраста в условиях реализации федерального государственного образовательного стандарта»</w:t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2018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2019</w:t>
            </w:r>
          </w:p>
        </w:tc>
      </w:tr>
      <w:tr>
        <w:trPr/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Салихова А.Ф.</w:t>
            </w:r>
          </w:p>
        </w:tc>
        <w:tc>
          <w:tcPr>
            <w:tcW w:w="1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воспитатель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ГБПОУ УМПК г.Уфа</w:t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</w:r>
          </w:p>
          <w:p>
            <w:pPr>
              <w:pStyle w:val="Normal"/>
              <w:shd w:val="clear" w:color="auto" w:fill="FFFFFF"/>
              <w:spacing w:lineRule="exact" w:line="245" w:before="0" w:after="0"/>
              <w:ind w:right="19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ГБПОУ УМПКг.Уфа</w:t>
            </w:r>
          </w:p>
        </w:tc>
        <w:tc>
          <w:tcPr>
            <w:tcW w:w="3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«Обучение педагогических работников навыкам оказания первой помощи»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  <w:lang w:eastAsia="ru-RU"/>
              </w:rPr>
              <w:t>«Инклюзивное образование детей дошкольного возраста в условиях реализации федерального государственного образовательного стандарта»</w:t>
            </w:r>
          </w:p>
        </w:tc>
        <w:tc>
          <w:tcPr>
            <w:tcW w:w="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2018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2019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ru-RU"/>
        </w:rPr>
        <w:t>1.4. Сведения о родителях.</w:t>
      </w:r>
    </w:p>
    <w:tbl>
      <w:tblPr>
        <w:tblW w:w="5000" w:type="pct"/>
        <w:jc w:val="left"/>
        <w:tblInd w:w="-85" w:type="dxa"/>
        <w:tblCellMar>
          <w:top w:w="0" w:type="dxa"/>
          <w:left w:w="23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874"/>
        <w:gridCol w:w="1282"/>
        <w:gridCol w:w="996"/>
        <w:gridCol w:w="1171"/>
        <w:gridCol w:w="711"/>
        <w:gridCol w:w="1090"/>
        <w:gridCol w:w="20"/>
        <w:gridCol w:w="936"/>
        <w:gridCol w:w="9"/>
        <w:gridCol w:w="1093"/>
        <w:gridCol w:w="9"/>
        <w:gridCol w:w="1446"/>
      </w:tblGrid>
      <w:tr>
        <w:trPr/>
        <w:tc>
          <w:tcPr>
            <w:tcW w:w="614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             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Качественный состав семей</w:t>
            </w:r>
          </w:p>
        </w:tc>
        <w:tc>
          <w:tcPr>
            <w:tcW w:w="3493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Социальный состав семей</w:t>
            </w:r>
          </w:p>
        </w:tc>
      </w:tr>
      <w:tr>
        <w:trPr/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Полные 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72"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семьи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98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Многодет.</w:t>
            </w:r>
          </w:p>
        </w:tc>
        <w:tc>
          <w:tcPr>
            <w:tcW w:w="39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Неполные семьи     (17)   7,1%</w:t>
            </w:r>
          </w:p>
        </w:tc>
        <w:tc>
          <w:tcPr>
            <w:tcW w:w="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Рабочие</w:t>
            </w:r>
          </w:p>
        </w:tc>
        <w:tc>
          <w:tcPr>
            <w:tcW w:w="1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Служащие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43" w:right="58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Безработные</w:t>
            </w:r>
          </w:p>
        </w:tc>
      </w:tr>
      <w:tr>
        <w:trPr/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Матери одиночки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Разведены </w:t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Вдовы </w:t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0" w:right="0" w:firstLine="1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Дети на попечении</w:t>
            </w:r>
          </w:p>
        </w:tc>
        <w:tc>
          <w:tcPr>
            <w:tcW w:w="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  <w:tc>
          <w:tcPr>
            <w:tcW w:w="1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  <w:tc>
          <w:tcPr>
            <w:tcW w:w="14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Cs w:val="24"/>
                <w:lang w:eastAsia="ru-RU"/>
              </w:rPr>
            </w:r>
          </w:p>
        </w:tc>
      </w:tr>
      <w:tr>
        <w:trPr/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59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103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39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7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49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4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uppressLineNumbers/>
        <w:tabs>
          <w:tab w:val="clear" w:pos="708"/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both"/>
        <w:rPr>
          <w:rFonts w:ascii="Times New Roman" w:hAnsi="Times New Roman" w:eastAsia="Times New Roman" w:cs="Times New Roman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ru-RU"/>
        </w:rPr>
      </w:r>
    </w:p>
    <w:tbl>
      <w:tblPr>
        <w:tblW w:w="9648" w:type="dxa"/>
        <w:jc w:val="left"/>
        <w:tblInd w:w="-85" w:type="dxa"/>
        <w:tblCellMar>
          <w:top w:w="0" w:type="dxa"/>
          <w:left w:w="1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2781"/>
        <w:gridCol w:w="1230"/>
        <w:gridCol w:w="2195"/>
        <w:gridCol w:w="1571"/>
        <w:gridCol w:w="1871"/>
      </w:tblGrid>
      <w:tr>
        <w:trPr>
          <w:trHeight w:val="506" w:hRule="atLeast"/>
        </w:trPr>
        <w:tc>
          <w:tcPr>
            <w:tcW w:w="2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Общее количество семей</w:t>
            </w:r>
          </w:p>
        </w:tc>
        <w:tc>
          <w:tcPr>
            <w:tcW w:w="3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72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Полная                     Неполная</w:t>
            </w:r>
          </w:p>
        </w:tc>
        <w:tc>
          <w:tcPr>
            <w:tcW w:w="34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left="72" w:right="72" w:hanging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Семья из трех поколений (Дети,  родители и бабушки, дедушки)   </w:t>
            </w:r>
          </w:p>
        </w:tc>
      </w:tr>
      <w:tr>
        <w:trPr/>
        <w:tc>
          <w:tcPr>
            <w:tcW w:w="27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54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Полная  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8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Неполная 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uppressLineNumbers/>
        <w:tabs>
          <w:tab w:val="clear" w:pos="708"/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both"/>
        <w:rPr>
          <w:rFonts w:ascii="Times New Roman" w:hAnsi="Times New Roman" w:eastAsia="Times New Roman" w:cs="Times New Roman"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sz w:val="24"/>
          <w:szCs w:val="24"/>
          <w:lang w:eastAsia="ru-RU"/>
        </w:rPr>
      </w:r>
    </w:p>
    <w:p>
      <w:pPr>
        <w:pStyle w:val="Normal"/>
        <w:suppressLineNumbers/>
        <w:tabs>
          <w:tab w:val="clear" w:pos="708"/>
          <w:tab w:val="left" w:pos="0" w:leader="none"/>
          <w:tab w:val="left" w:pos="15960" w:leader="none"/>
        </w:tabs>
        <w:suppressAutoHyphens w:val="true"/>
        <w:snapToGrid w:val="false"/>
        <w:spacing w:lineRule="auto" w:line="240" w:before="0" w:after="283"/>
        <w:ind w:right="0" w:hanging="0"/>
        <w:jc w:val="center"/>
        <w:rPr>
          <w:rFonts w:ascii="Times New Roman" w:hAnsi="Times New Roman" w:eastAsia="Times New Roman" w:cs="Times New Roman"/>
          <w:i/>
          <w:i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Уровень образования родителей</w:t>
      </w:r>
    </w:p>
    <w:tbl>
      <w:tblPr>
        <w:tblW w:w="9571" w:type="dxa"/>
        <w:jc w:val="left"/>
        <w:tblInd w:w="-85" w:type="dxa"/>
        <w:tblCellMar>
          <w:top w:w="0" w:type="dxa"/>
          <w:left w:w="18" w:type="dxa"/>
          <w:bottom w:w="0" w:type="dxa"/>
          <w:right w:w="108" w:type="dxa"/>
        </w:tblCellMar>
        <w:tblLook w:noVBand="0" w:val="01e0" w:noHBand="0" w:lastColumn="1" w:firstColumn="1" w:lastRow="1" w:firstRow="1"/>
      </w:tblPr>
      <w:tblGrid>
        <w:gridCol w:w="1738"/>
        <w:gridCol w:w="870"/>
        <w:gridCol w:w="1001"/>
        <w:gridCol w:w="3"/>
        <w:gridCol w:w="1105"/>
        <w:gridCol w:w="980"/>
        <w:gridCol w:w="12"/>
        <w:gridCol w:w="983"/>
        <w:gridCol w:w="971"/>
        <w:gridCol w:w="16"/>
        <w:gridCol w:w="919"/>
        <w:gridCol w:w="972"/>
      </w:tblGrid>
      <w:tr>
        <w:trPr/>
        <w:tc>
          <w:tcPr>
            <w:tcW w:w="1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Общее 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18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09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19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 - специальное</w:t>
            </w:r>
          </w:p>
        </w:tc>
        <w:tc>
          <w:tcPr>
            <w:tcW w:w="18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среднее</w:t>
            </w:r>
          </w:p>
        </w:tc>
      </w:tr>
      <w:tr>
        <w:trPr/>
        <w:tc>
          <w:tcPr>
            <w:tcW w:w="1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</w:t>
            </w:r>
          </w:p>
        </w:tc>
      </w:tr>
      <w:tr>
        <w:trPr/>
        <w:tc>
          <w:tcPr>
            <w:tcW w:w="1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Мужчин - 62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Женщин - 77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21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17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43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32</w:t>
            </w:r>
          </w:p>
          <w:p>
            <w:pPr>
              <w:pStyle w:val="Normal"/>
              <w:suppressLineNumbers/>
              <w:tabs>
                <w:tab w:val="clear" w:pos="708"/>
                <w:tab w:val="left" w:pos="0" w:leader="none"/>
                <w:tab w:val="left" w:pos="15960" w:leader="none"/>
              </w:tabs>
              <w:suppressAutoHyphens w:val="true"/>
              <w:snapToGrid w:val="false"/>
              <w:spacing w:lineRule="auto" w:line="240" w:before="0" w:after="283"/>
              <w:ind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Жилищные условия:</w:t>
      </w:r>
    </w:p>
    <w:tbl>
      <w:tblPr>
        <w:tblW w:w="9455" w:type="dxa"/>
        <w:jc w:val="left"/>
        <w:tblInd w:w="-113" w:type="dxa"/>
        <w:tblCellMar>
          <w:top w:w="30" w:type="dxa"/>
          <w:left w:w="7" w:type="dxa"/>
          <w:bottom w:w="30" w:type="dxa"/>
          <w:right w:w="14" w:type="dxa"/>
        </w:tblCellMar>
        <w:tblLook w:noVBand="0" w:val="00a0" w:noHBand="0" w:lastColumn="0" w:firstColumn="1" w:lastRow="0" w:firstRow="1"/>
      </w:tblPr>
      <w:tblGrid>
        <w:gridCol w:w="1474"/>
        <w:gridCol w:w="2428"/>
        <w:gridCol w:w="3644"/>
        <w:gridCol w:w="1908"/>
      </w:tblGrid>
      <w:tr>
        <w:trPr>
          <w:trHeight w:val="656" w:hRule="atLeast"/>
        </w:trPr>
        <w:tc>
          <w:tcPr>
            <w:tcW w:w="147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2428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Хорошие</w:t>
            </w:r>
          </w:p>
        </w:tc>
        <w:tc>
          <w:tcPr>
            <w:tcW w:w="364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Удовлетворительные</w:t>
            </w:r>
          </w:p>
        </w:tc>
        <w:tc>
          <w:tcPr>
            <w:tcW w:w="1908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Плохие</w:t>
            </w:r>
          </w:p>
        </w:tc>
      </w:tr>
      <w:tr>
        <w:trPr>
          <w:trHeight w:val="346" w:hRule="atLeast"/>
        </w:trPr>
        <w:tc>
          <w:tcPr>
            <w:tcW w:w="147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28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54 </w:t>
            </w:r>
          </w:p>
        </w:tc>
        <w:tc>
          <w:tcPr>
            <w:tcW w:w="3644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908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1.5. Характеристика социума</w:t>
      </w:r>
    </w:p>
    <w:p>
      <w:pPr>
        <w:pStyle w:val="Normal"/>
        <w:shd w:val="clear" w:color="auto" w:fill="FFFFFF"/>
        <w:spacing w:lineRule="exact" w:line="413" w:before="374" w:after="0"/>
        <w:ind w:left="10" w:hanging="0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Здание детского сада «Аленький цветочек»с.Ангасяк , расположенно в центре  села Ангасяк, улица Чиглинцева.7,.Ближайшее окружение МБОУ СОШ с.Ангасяк,  Сельский дом культуры,Сельская библиотека ,Церковь,улица Чиглинцева.</w:t>
      </w:r>
    </w:p>
    <w:p>
      <w:pPr>
        <w:pStyle w:val="Normal"/>
        <w:shd w:val="clear" w:color="auto" w:fill="FFFFFF"/>
        <w:spacing w:lineRule="exact" w:line="413" w:before="374" w:after="0"/>
        <w:ind w:left="10" w:hanging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Позитивные факторы микросоциума: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211" w:leader="none"/>
        </w:tabs>
        <w:spacing w:lineRule="exact" w:line="413" w:before="0" w:after="0"/>
        <w:ind w:left="5" w:hanging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наличие в ближайшем окружении детского сада зданий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жилищного фонда</w:t>
      </w:r>
    </w:p>
    <w:p>
      <w:pPr>
        <w:pStyle w:val="Normal"/>
        <w:widowControl w:val="false"/>
        <w:numPr>
          <w:ilvl w:val="0"/>
          <w:numId w:val="2"/>
        </w:numPr>
        <w:shd w:val="clear" w:color="auto" w:fill="FFFFFF"/>
        <w:tabs>
          <w:tab w:val="clear" w:pos="708"/>
          <w:tab w:val="left" w:pos="211" w:leader="none"/>
        </w:tabs>
        <w:spacing w:lineRule="exact" w:line="413" w:before="0" w:after="0"/>
        <w:ind w:left="5" w:hanging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наличие в ближайшем окружении детского сада школы,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сельского дома культуры, сельской библиотеки.</w:t>
      </w:r>
    </w:p>
    <w:p>
      <w:pPr>
        <w:pStyle w:val="Normal"/>
        <w:shd w:val="clear" w:color="auto" w:fill="FFFFFF"/>
        <w:spacing w:lineRule="exact" w:line="413" w:before="0" w:after="0"/>
        <w:ind w:left="19" w:firstLine="869"/>
        <w:rPr>
          <w:rFonts w:ascii="Times New Roman" w:hAnsi="Times New Roman" w:eastAsia="Times New Roman" w:cs="Times New Roman"/>
          <w:spacing w:val="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Таким образом, окружающая социальная среда содействует развитию познавательной деятельности, формирует определенные представления о близких и конкретных факторах общественной жизни, труда и быта людей, удовлетворяет интеллектуальные, эмоциональные, </w:t>
      </w: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>эстетические запросы, потребности в физическом развитии.</w:t>
      </w:r>
    </w:p>
    <w:tbl>
      <w:tblPr>
        <w:tblW w:w="9400" w:type="dxa"/>
        <w:jc w:val="left"/>
        <w:tblInd w:w="-113" w:type="dxa"/>
        <w:tblCellMar>
          <w:top w:w="30" w:type="dxa"/>
          <w:left w:w="7" w:type="dxa"/>
          <w:bottom w:w="30" w:type="dxa"/>
          <w:right w:w="14" w:type="dxa"/>
        </w:tblCellMar>
        <w:tblLook w:noVBand="0" w:val="00a0" w:noHBand="0" w:lastColumn="0" w:firstColumn="1" w:lastRow="0" w:firstRow="1"/>
      </w:tblPr>
      <w:tblGrid>
        <w:gridCol w:w="2506"/>
        <w:gridCol w:w="6893"/>
      </w:tblGrid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Autospacing="1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сотрудничества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Организационное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Управление образования муниципального района</w:t>
            </w:r>
          </w:p>
          <w:p>
            <w:pPr>
              <w:pStyle w:val="Normal"/>
              <w:numPr>
                <w:ilvl w:val="0"/>
                <w:numId w:val="3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Отдел государственного пожарного надзора по       Дюртюлинскому району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Реализация преемственности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МБОУ СОШ с.Ангасяк</w:t>
            </w:r>
          </w:p>
          <w:p>
            <w:pPr>
              <w:pStyle w:val="Normal"/>
              <w:numPr>
                <w:ilvl w:val="0"/>
                <w:numId w:val="0"/>
              </w:numPr>
              <w:shd w:val="clear" w:color="auto" w:fill="FFFFFF"/>
              <w:spacing w:lineRule="atLeast" w:line="288" w:before="48" w:after="48"/>
              <w:ind w:hanging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Сельский дом культуры</w:t>
            </w:r>
          </w:p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Церковь</w:t>
            </w:r>
          </w:p>
          <w:p>
            <w:pPr>
              <w:pStyle w:val="Normal"/>
              <w:numPr>
                <w:ilvl w:val="0"/>
                <w:numId w:val="4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Сельская библиотека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Повышение квалификации кадров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5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Районная методическая служба</w:t>
            </w:r>
          </w:p>
          <w:p>
            <w:pPr>
              <w:pStyle w:val="Normal"/>
              <w:numPr>
                <w:ilvl w:val="0"/>
                <w:numId w:val="5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Башкирский институт развития образования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Финансовое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6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Центральная бухгалтерия Управления образования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Оздоровление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7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Детская поликлиника</w:t>
            </w:r>
          </w:p>
          <w:p>
            <w:pPr>
              <w:pStyle w:val="Normal"/>
              <w:numPr>
                <w:ilvl w:val="0"/>
                <w:numId w:val="7"/>
              </w:numPr>
              <w:shd w:val="clear" w:color="auto" w:fill="FFFFFF"/>
              <w:spacing w:lineRule="atLeast" w:line="288" w:before="48" w:after="48"/>
              <w:ind w:left="480" w:hanging="3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ЦУБ с.Ангасяк</w:t>
            </w:r>
          </w:p>
        </w:tc>
      </w:tr>
      <w:tr>
        <w:trPr/>
        <w:tc>
          <w:tcPr>
            <w:tcW w:w="2506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Информационное</w:t>
            </w:r>
          </w:p>
        </w:tc>
        <w:tc>
          <w:tcPr>
            <w:tcW w:w="68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fill="auto" w:val="clear"/>
          </w:tcPr>
          <w:p>
            <w:pPr>
              <w:pStyle w:val="Normal"/>
              <w:numPr>
                <w:ilvl w:val="0"/>
                <w:numId w:val="8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Районная газета « Юлдаш»</w:t>
            </w:r>
          </w:p>
          <w:p>
            <w:pPr>
              <w:pStyle w:val="Normal"/>
              <w:numPr>
                <w:ilvl w:val="0"/>
                <w:numId w:val="8"/>
              </w:numPr>
              <w:shd w:val="clear" w:color="auto" w:fill="FFFFFF"/>
              <w:spacing w:lineRule="atLeast" w:line="288" w:before="48" w:after="48"/>
              <w:ind w:left="480" w:hanging="36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Гостевая книга на сайте ДОУ</w:t>
            </w:r>
          </w:p>
        </w:tc>
      </w:tr>
    </w:tbl>
    <w:p>
      <w:pPr>
        <w:pStyle w:val="Normal"/>
        <w:shd w:val="clear" w:color="auto" w:fill="FFFFFF"/>
        <w:spacing w:lineRule="exact" w:line="413" w:before="418" w:after="0"/>
        <w:ind w:hanging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exact" w:line="413" w:before="418" w:after="0"/>
        <w:ind w:hanging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exact" w:line="413" w:before="418" w:after="0"/>
        <w:ind w:hanging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ab/>
        <w:t>1.6. Организация воспитательно-образовательного процесса в ДОУ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Процесс организации воспитательно-образовательной деятельности в детском саду носит комплексный, плановый характер. Разработана образовательная программа, представляющая собой модель целостного процесса воспитания и обучения детей, направленного на полноценное, всестороннее развитие ребенка: физическое, социально-нравственное, художественно-эстетическое, интеллектуальное развитие во взаимосвязи. 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Образовательная программа определяет следующие задачи: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благополучия.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преемственности целей, задач и содержания образования, реализуемых в рамках Образовательной программы и основных образовательных программ начального общего образования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самим с собой, другими детьми, взрослыми и миром.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 общей культуры личности детей, в том числе –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>
      <w:pPr>
        <w:pStyle w:val="Normal"/>
        <w:numPr>
          <w:ilvl w:val="0"/>
          <w:numId w:val="9"/>
        </w:numPr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>
      <w:pPr>
        <w:pStyle w:val="Normal"/>
        <w:spacing w:lineRule="auto" w:line="240" w:before="0" w:after="0"/>
        <w:ind w:left="0" w:hanging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Выше перечисленные задачи реализовываются педагогическим коллективом согласно Учебному плану ДОУ в соответствии с Программой  «От рождения до школы» под редакцией Н.Е.Вераксы, Т.С.Комаровой, М.А.Васильевой, Образовательной программой ДОУ.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1.7. Предметно-развивающая среда.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 создана предметно-развивающая среда, отвечающая требованиям САНПиН, с учетом возрастных и психологических особенностей детей, зарождающихся половых склонностей и интересов и конструируется так, чтобы ребенок в течение дня в детском саду мог найти себе увлекательное дело, занятие. Помещения групп оборудованы игровыми зонами, отражающими многообразие окружающего мира и развивающими сенсорные способности детей. В группах созданы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музыкальные, театрализованные уголки, условия для творческого развития.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exact" w:line="1" w:before="0" w:after="461"/>
        <w:rPr>
          <w:rFonts w:ascii="Times New Roman" w:hAnsi="Times New Roman" w:eastAsia="Times New Roman" w:cs="Times New Roman"/>
          <w:color w:val="FF0000"/>
          <w:sz w:val="2"/>
          <w:szCs w:val="2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"/>
          <w:szCs w:val="2"/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posOffset>-4445</wp:posOffset>
                </wp:positionH>
                <wp:positionV relativeFrom="paragraph">
                  <wp:posOffset>298450</wp:posOffset>
                </wp:positionV>
                <wp:extent cx="5951220" cy="6868160"/>
                <wp:effectExtent l="0" t="0" r="0" b="0"/>
                <wp:wrapSquare wrapText="bothSides"/>
                <wp:docPr id="3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440" cy="68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355" w:type="dxa"/>
                              <w:jc w:val="left"/>
                              <w:tblInd w:w="-29" w:type="dxa"/>
                              <w:tblCellMar>
                                <w:top w:w="0" w:type="dxa"/>
                                <w:left w:w="7" w:type="dxa"/>
                                <w:bottom w:w="0" w:type="dxa"/>
                                <w:right w:w="26" w:type="dxa"/>
                              </w:tblCellMar>
                              <w:tblLook w:noVBand="0" w:val="00a0" w:noHBand="0" w:lastColumn="0" w:firstColumn="1" w:lastRow="0" w:firstRow="1"/>
                            </w:tblPr>
                            <w:tblGrid>
                              <w:gridCol w:w="2276"/>
                              <w:gridCol w:w="3787"/>
                              <w:gridCol w:w="3292"/>
                            </w:tblGrid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276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4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Помещение</w:t>
                                  </w:r>
                                </w:p>
                              </w:tc>
                              <w:tc>
                                <w:tcPr>
                                  <w:tcW w:w="3787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6" w:space="0" w:color="00000A"/>
                                    <w:right w:val="single" w:sz="4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62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Вид деятельности   </w:t>
                                  </w:r>
                                </w:p>
                              </w:tc>
                              <w:tc>
                                <w:tcPr>
                                  <w:tcW w:w="3292" w:type="dxa"/>
                                  <w:tcBorders>
                                    <w:top w:val="single" w:sz="6" w:space="0" w:color="00000A"/>
                                    <w:left w:val="single" w:sz="4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62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Участники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276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Коридоры ДОУ</w:t>
                                  </w:r>
                                </w:p>
                              </w:tc>
                              <w:tc>
                                <w:tcPr>
                                  <w:tcW w:w="3787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Экспозиция детских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работ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Картинная галерея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Фотовыставки из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жизни детского сада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Символика РБ и РФ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Родительские уголки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Информационный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стенд</w:t>
                                  </w:r>
                                </w:p>
                              </w:tc>
                              <w:tc>
                                <w:tcPr>
                                  <w:tcW w:w="3292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Заведующий,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воспитатели, воспитанники.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276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  </w:t>
                                  </w:r>
                                  <w:r>
                                    <w:rPr/>
                                    <w:t>Методический кабинет</w:t>
                                  </w:r>
                                </w:p>
                              </w:tc>
                              <w:tc>
                                <w:tcPr>
                                  <w:tcW w:w="3787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Педсоветы,Консультации,Работы с литературой.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Раздаточный материал.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Библиотека.</w:t>
                                  </w:r>
                                </w:p>
                              </w:tc>
                              <w:tc>
                                <w:tcPr>
                                  <w:tcW w:w="3292" w:type="dxa"/>
                                  <w:tcBorders>
                                    <w:top w:val="single" w:sz="6" w:space="0" w:color="00000A"/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 xml:space="preserve">  </w:t>
                                  </w:r>
                                  <w:r>
                                    <w:rPr/>
                                    <w:t>Заведующий ,педагоги.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276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 xml:space="preserve">  </w:t>
                                  </w:r>
                                  <w:r>
                                    <w:rPr/>
                                    <w:t>Музыкально-физкультурный зал</w:t>
                                  </w:r>
                                </w:p>
                              </w:tc>
                              <w:tc>
                                <w:tcPr>
                                  <w:tcW w:w="3787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Утренняя гимнастика,занятия: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-фронтальные;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-индивидуальные.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Развлечения,досуги,праздники.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Родительские собрания.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Консультации.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>Выставки,конкурсы.</w:t>
                                  </w:r>
                                </w:p>
                              </w:tc>
                              <w:tc>
                                <w:tcPr>
                                  <w:tcW w:w="3292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/>
                                  </w:pPr>
                                  <w:r>
                                    <w:rPr/>
                                    <w:t xml:space="preserve"> </w:t>
                                  </w:r>
                                  <w:r>
                                    <w:rPr/>
                                    <w:t>Педагоги,воспитанники,родители (законные представители).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6" w:hRule="exact"/>
                              </w:trPr>
                              <w:tc>
                                <w:tcPr>
                                  <w:tcW w:w="2276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Территория ДОУ</w:t>
                                  </w:r>
                                </w:p>
                              </w:tc>
                              <w:tc>
                                <w:tcPr>
                                  <w:tcW w:w="3787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Спортивная площадка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pacing w:val="0"/>
                                      <w:sz w:val="24"/>
                                      <w:szCs w:val="24"/>
                                      <w:lang w:eastAsia="ru-RU"/>
                                    </w:rPr>
                                    <w:t>Экологическая тропа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Цветники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Огород</w:t>
                                  </w:r>
                                </w:p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5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Участки групп</w:t>
                                  </w:r>
                                </w:p>
                              </w:tc>
                              <w:tc>
                                <w:tcPr>
                                  <w:tcW w:w="3292" w:type="dxa"/>
                                  <w:tcBorders>
                                    <w:left w:val="single" w:sz="6" w:space="0" w:color="00000A"/>
                                    <w:bottom w:val="single" w:sz="6" w:space="0" w:color="00000A"/>
                                    <w:right w:val="single" w:sz="6" w:space="0" w:color="00000A"/>
                                  </w:tcBorders>
                                  <w:shd w:color="auto" w:fill="FFFFFF" w:val="clear"/>
                                </w:tcPr>
                                <w:p>
                                  <w:pPr>
                                    <w:pStyle w:val="Normal"/>
                                    <w:shd w:val="clear" w:color="auto" w:fill="FFFFFF"/>
                                    <w:spacing w:lineRule="auto" w:line="240" w:before="0" w:after="0"/>
                                    <w:ind w:left="10" w:hanging="0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Заведующий, воспитатели,  дети и родители.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3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stroked="f" style="position:absolute;margin-left:-0.35pt;margin-top:23.5pt;width:468.5pt;height:540.7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355" w:type="dxa"/>
                        <w:jc w:val="left"/>
                        <w:tblInd w:w="-29" w:type="dxa"/>
                        <w:tblCellMar>
                          <w:top w:w="0" w:type="dxa"/>
                          <w:left w:w="7" w:type="dxa"/>
                          <w:bottom w:w="0" w:type="dxa"/>
                          <w:right w:w="26" w:type="dxa"/>
                        </w:tblCellMar>
                        <w:tblLook w:noVBand="0" w:val="00a0" w:noHBand="0" w:lastColumn="0" w:firstColumn="1" w:lastRow="0" w:firstRow="1"/>
                      </w:tblPr>
                      <w:tblGrid>
                        <w:gridCol w:w="2276"/>
                        <w:gridCol w:w="3787"/>
                        <w:gridCol w:w="3292"/>
                      </w:tblGrid>
                      <w:tr>
                        <w:trPr>
                          <w:trHeight w:val="389" w:hRule="exact"/>
                        </w:trPr>
                        <w:tc>
                          <w:tcPr>
                            <w:tcW w:w="2276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4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Помещение</w:t>
                            </w:r>
                          </w:p>
                        </w:tc>
                        <w:tc>
                          <w:tcPr>
                            <w:tcW w:w="3787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6" w:space="0" w:color="00000A"/>
                              <w:right w:val="single" w:sz="4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62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Вид деятельности   </w:t>
                            </w:r>
                          </w:p>
                        </w:tc>
                        <w:tc>
                          <w:tcPr>
                            <w:tcW w:w="3292" w:type="dxa"/>
                            <w:tcBorders>
                              <w:top w:val="single" w:sz="6" w:space="0" w:color="00000A"/>
                              <w:left w:val="single" w:sz="4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62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       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Участники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276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Коридоры ДОУ</w:t>
                            </w:r>
                          </w:p>
                        </w:tc>
                        <w:tc>
                          <w:tcPr>
                            <w:tcW w:w="3787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Экспозиция детских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 работ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Картинная галерея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Фотовыставки из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жизни детского сада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Символика РБ и РФ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Родительские уголки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Информационный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 стенд</w:t>
                            </w:r>
                          </w:p>
                        </w:tc>
                        <w:tc>
                          <w:tcPr>
                            <w:tcW w:w="3292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 xml:space="preserve">Заведующий,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воспитатели, воспитанники.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276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  </w:t>
                            </w:r>
                            <w:r>
                              <w:rPr/>
                              <w:t>Методический кабинет</w:t>
                            </w:r>
                          </w:p>
                        </w:tc>
                        <w:tc>
                          <w:tcPr>
                            <w:tcW w:w="3787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Педсоветы,Консультации,Работы с литературой.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Раздаточный материал.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Библиотека.</w:t>
                            </w:r>
                          </w:p>
                        </w:tc>
                        <w:tc>
                          <w:tcPr>
                            <w:tcW w:w="3292" w:type="dxa"/>
                            <w:tcBorders>
                              <w:top w:val="single" w:sz="6" w:space="0" w:color="00000A"/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 xml:space="preserve">  </w:t>
                            </w:r>
                            <w:r>
                              <w:rPr/>
                              <w:t>Заведующий ,педагоги.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276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  <w:t xml:space="preserve">  </w:t>
                            </w:r>
                            <w:r>
                              <w:rPr/>
                              <w:t>Музыкально-физкультурный зал</w:t>
                            </w:r>
                          </w:p>
                        </w:tc>
                        <w:tc>
                          <w:tcPr>
                            <w:tcW w:w="3787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Утренняя гимнастика,занятия: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-фронтальные;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-индивидуальные.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Развлечения,досуги,праздники.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Родительские собрания.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Консультации.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>Выставки,конкурсы.</w:t>
                            </w:r>
                          </w:p>
                        </w:tc>
                        <w:tc>
                          <w:tcPr>
                            <w:tcW w:w="3292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/>
                            </w:pP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t>Педагоги,воспитанники,родители (законные представители).</w:t>
                            </w:r>
                          </w:p>
                        </w:tc>
                      </w:tr>
                      <w:tr>
                        <w:trPr>
                          <w:trHeight w:val="2536" w:hRule="exact"/>
                        </w:trPr>
                        <w:tc>
                          <w:tcPr>
                            <w:tcW w:w="2276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Территория ДОУ</w:t>
                            </w:r>
                          </w:p>
                        </w:tc>
                        <w:tc>
                          <w:tcPr>
                            <w:tcW w:w="3787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Спортивная площадка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pacing w:val="0"/>
                                <w:sz w:val="24"/>
                                <w:szCs w:val="24"/>
                                <w:lang w:eastAsia="ru-RU"/>
                              </w:rPr>
                              <w:t>Экологическая тропа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Цветники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Огород</w:t>
                            </w:r>
                          </w:p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5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Участки групп</w:t>
                            </w:r>
                          </w:p>
                        </w:tc>
                        <w:tc>
                          <w:tcPr>
                            <w:tcW w:w="3292" w:type="dxa"/>
                            <w:tcBorders>
                              <w:left w:val="single" w:sz="6" w:space="0" w:color="00000A"/>
                              <w:bottom w:val="single" w:sz="6" w:space="0" w:color="00000A"/>
                              <w:right w:val="single" w:sz="6" w:space="0" w:color="00000A"/>
                            </w:tcBorders>
                            <w:shd w:color="auto" w:fill="FFFFFF" w:val="clear"/>
                          </w:tcPr>
                          <w:p>
                            <w:pPr>
                              <w:pStyle w:val="Normal"/>
                              <w:shd w:val="clear" w:color="auto" w:fill="FFFFFF"/>
                              <w:spacing w:lineRule="auto" w:line="240" w:before="0" w:after="0"/>
                              <w:ind w:left="10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Заведующий, воспитатели,  дети и родители.</w:t>
                            </w:r>
                          </w:p>
                        </w:tc>
                      </w:tr>
                    </w:tbl>
                    <w:p>
                      <w:pPr>
                        <w:pStyle w:val="Style31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3148" w:leader="none"/>
        </w:tabs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  <w:lang w:eastAsia="ru-RU"/>
        </w:rPr>
        <w:tab/>
      </w: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  <w:lang w:eastAsia="ru-RU"/>
        </w:rPr>
        <w:t xml:space="preserve">                       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1.8. Программно-методическое обеспечение.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 разработана, утверждена и реализуется основная образовательная программа.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Общеобразовательная программа МБДОУ Детский сад.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Цели и задачи образовательной программы ДОУ: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стандарта дошкольного образования как системы требований к содержанию и уровню развития детей, каждого психологического возраста с учетом соблюдения преемственности при переходе к следующему возрастному периоду.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атмосферы эмоционального комфорта, условий для самовыражения, саморазвития.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Создание условий, благоприятствующих становлению базисных характеристик личности дошкольника, отвечающих современным требованиям.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Использование традиционных, инновационных и зарубежных технологий, направленных на обновление учебно-воспитательного процесса, развитие познавательных способностей детей, детского творчества и на интеллектуальное развитие.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•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Повышение профессионального мастерства педагогов.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качестве комплексной программы используется «От рождения до школы» под редакцией Н.Е. Вераксы, рекомендованная Министерством образования и науки РФ. Основными приоритетными направлениями образовательного процесса становятся – физическое, социально-личностное,  познавательно-речевое и художественно-эстетическое.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своей работе педагогический коллектив использует такие инновационные программы и технологии, как: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«Как воспитать здорового ребенка Алямовская Л.В.»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«Я-человек» Козлова С.А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по национально- региональному компоненту</w:t>
      </w:r>
      <w:r>
        <w:rPr>
          <w:rFonts w:eastAsia="Times New Roman" w:cs="Times New Roman" w:ascii="Times New Roman" w:hAnsi="Times New Roman"/>
          <w:sz w:val="28"/>
          <w:szCs w:val="28"/>
          <w:u w:val="single"/>
          <w:lang w:eastAsia="ru-RU"/>
        </w:rPr>
        <w:t xml:space="preserve">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«Земля отцов» Гасанова Р.Х 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«Урал – мой край родной» Фазлыева Ф.Ф.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«Комплексное развитие детей в процессе общения с природой» Марченко Л.И.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экологии: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«Юный эколог» Николаевой С.Н.,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ОБЖ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«Безопасность» Авдеевой Н.Н., Стеркиной Р.Б., Князевой Н.Л., «Формирование Основ безопасности у дошкольников» Белая К.Ю.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 физическому воспитанию: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«Физкультурные занятия в детском саду». Пензулаевой, Л.И «Физкультурные минутки и дидактические паузы» Аверина И.Е.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«Нетрадиционная техника рисования» Козаковой Т.Г.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«Детское художественное творчество» Комаровой Т.С.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по разделу элементарных математических представлений: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«Занятия по ФЭМП» Помораевой И.А., Позиной В.А.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 разделу познавательной деятельности;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«Познай себя» Головниной В.Ф.,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«Методика развития речи детей дошкольного возраста» Ушаковой О.С., Струниной Е.М., «Развитие речи в детском саду» Гербовой В.В.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ru-RU"/>
        </w:rPr>
        <w:t>- по музыкальному развитию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«Музыка в детском саду» Мухамедзяновой Р.К.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«Музыкальное воспитание в детском саду» Зацепиной М.Б.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«Балалар баксахында байрамдар» Фаткуллина Ф.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«Праздники и развлечения в детском саду» Бекина С.И.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«Беренсе кечкенэлэр торкемендэ музыкаль-эстетик тэрбия» Муракшина Р.М.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«Кэкук сакыра» Салимов М.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«Мы танцуем и поем» Злабина З.Я.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«Праздничные утренники в детском саду» Метлов Н.,Михайлова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«Мы друзей зовем на праздник» Юдина С.Е.</w:t>
      </w:r>
    </w:p>
    <w:p>
      <w:pPr>
        <w:pStyle w:val="Normal"/>
        <w:overflowPunct w:val="false"/>
        <w:spacing w:lineRule="auto" w:line="240" w:before="0" w:after="0"/>
        <w:ind w:right="2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Web"/>
        <w:shd w:val="clear" w:color="auto" w:fill="FFFFFF"/>
        <w:spacing w:before="280" w:after="280"/>
        <w:ind w:left="708" w:firstLine="708"/>
        <w:jc w:val="center"/>
        <w:rPr>
          <w:color w:val="181910"/>
          <w:sz w:val="28"/>
          <w:szCs w:val="28"/>
        </w:rPr>
      </w:pPr>
      <w:bookmarkStart w:id="2" w:name="page35"/>
      <w:bookmarkEnd w:id="2"/>
      <w:r>
        <w:rPr>
          <w:b/>
          <w:bCs/>
          <w:color w:val="181910"/>
          <w:sz w:val="28"/>
          <w:szCs w:val="28"/>
        </w:rPr>
        <w:t>2. Проблемно-ориентированный анализ</w:t>
      </w:r>
    </w:p>
    <w:p>
      <w:pPr>
        <w:pStyle w:val="Normal"/>
        <w:shd w:val="clear" w:color="auto" w:fill="FFFFFF"/>
        <w:spacing w:lineRule="auto" w:line="240" w:beforeAutospacing="1" w:afterAutospacing="1"/>
        <w:rPr/>
      </w:pPr>
      <w:r>
        <w:rPr>
          <w:rFonts w:eastAsia="Times New Roman" w:cs="Times New Roman" w:ascii="Times New Roman" w:hAnsi="Times New Roman"/>
          <w:color w:val="181910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color w:val="181910"/>
          <w:sz w:val="28"/>
          <w:szCs w:val="28"/>
          <w:lang w:eastAsia="ru-RU"/>
        </w:rPr>
        <w:t>Анализ работы МБДОУ Детский сад  «Аленький цветочек» с.Ангасяк за период 2018– 2020 год показал, что детский сад осуществляет свою основную деятельность в режиме функционирования.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последнее время наметилась тенденция положительных результатов воспитательного процесса и условий, обеспечивающих его.</w:t>
      </w:r>
    </w:p>
    <w:p>
      <w:pPr>
        <w:pStyle w:val="Normal"/>
        <w:shd w:val="clear" w:color="auto" w:fill="FFFFFF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                     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2.1. Охрана здоровья и здорового образа жизни</w:t>
      </w:r>
    </w:p>
    <w:p>
      <w:pPr>
        <w:pStyle w:val="Normal"/>
        <w:spacing w:lineRule="auto" w:line="240" w:before="0" w:after="0"/>
        <w:ind w:firstLine="72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Здоровье - важнейшая предпосылка правильного формирования характера, развития инициативы, сильной воли, дарований, природных способностей. Педагоги  на первый план выдвигают задачи укрепления здоровья дошкольников и формирования у них ориентации на здоровый образ жизни. При построении образовательного процесса педагоги   учитывают индивидуальные особенности каждого ребенка, уровень двигательной активности,  анализ здоровья детей.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Для укрепления здоровья детей в детском саду проводятся различные формы физкультурно-оздоровительной работы (физкультурные занятия, досуги и развлечения, Дни здоровья, гимнастики утренняя и после сна, дыхательная, пальчиковая,  закаливающие и оздоровительные процедуры). Во всех группах регулярно проводятся занятия валеологической направленности, игры, беседы по воспитанию у детей привычки и навыков здорового образа жизни. Ведётся большая работа с родителями по пропаганде здорового образа жизни, для проведения бесед привлекаются медработники.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Безболезненно проходит кризис 3-х лет и адаптационный период при поступлении в ДОУ.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2.2. Познавательно-речевое развитие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рамках реализации Программы развития по повышению качества работы по познавательно-речевому развитию дошкольников проведена следующая работа.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Методическая работа выстраивалась с учетом диагностического обследования дошкольников. 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Большое внимание уделялось развитию элементарных математических представлений, формированию логического мышления.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В ходе реализации программы в 2018– 2020г.г. были выявлены следующие трудности: недостаточно разнообразная речевая предметно-развивающая среда в группах;   недостаточно разнообразный методический инструментарий воспитателей при подготовке и проведении игровых ситуаций в области «Коммуникация»;  мало времени уделяется воспитателями индивидуальной работе с детьми.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2.3. Социализация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 формированию нравственно-волевых качеств и творческих способностей детей в ДОУ целенаправленно и планомерно велась работа по организации и оснащению игровой деятельности. Подводя итоги изучения различных форм игровой деятельности, следует отметить, работа педагогического коллектива ведется на должном уровне. Содержание мероприятий по формированию нравственно-волевых качеств и организации игровой деятельности дошкольников реализуется через разнообразные формы работы с детьми, а также через взаимодействия с семьей.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успешной организации сюжетно – ролевых игр воспитатели совместно с родителями дополнили и обновили атрибуты и предметы заместители.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Игровое пространство во всех возрастных группах дополнено атрибутами к сюжетно – ролевым играм на современную тематику в соответствии с возрастными особенностями дошкольников: «Салон красоты», «Космические пилоты», «Пароход», «Автобус», «Аптека», «У врача»,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«Юные экологи». 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Большое внимание было уделено обновлению методического кабинета новинками методической литературы по нравственному воспитанию, трудовому воспитанию, организации сюжетно – ролевых игр.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Работа педагогического коллектива с 2018 по 2020 года была построена в соответствии с разделами годовых планов и производилась в установленные сроки. Проведены педсоветы «Учим детей, играя», «Сюжетно-ролевые игры на прогулке» на которых подведены итоги тематических проверок «Сюжетно-игровые ситуации во всех возрастных группах», «Игровое зонирование в группах». Проведены консультации для воспитателей и родителей: «Игры для детей раннего возраста», «Приобщение детей к народной игровой культуре», «Современные подходы к организации игрового пространства», «Играя, творим», «Роль семьи в игровой деятельности детей».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Основным показателем эффективности педагогического процесса является развитие нравственно-волевых качеств каждого ребенка. Планирование, организация совместной деятельности детей и взрослых, выбор средств и способов решения определенных целей и задач строились на основе данных, характеризующих процесс развития и возрастные возможности каждого ребенка, на изучении динамики их развития.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2.4. Взаимодействие со школой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Наш детский сад осуществляет совместную деятельность с МБОУ СОШ с.Ангасяк, в которую поступают выпускники нашего детского сада. В течение учебного года организуются экскурсии детей в школу. Дети посещают: классы, спортзал, библиотеку. Учителя школы имеют возможность ближе познакомится с формами работы, которые используются в ДОУ, узнать основные требования программы, по которой работает детский сад, увидеть своих будущих первоклассников в привычной для них обстановке.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Ежегодно, мае в ДОУ проводится диагностика готовности детей к школе.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margin">
                  <wp:posOffset>-69850</wp:posOffset>
                </wp:positionH>
                <wp:positionV relativeFrom="paragraph">
                  <wp:posOffset>64770</wp:posOffset>
                </wp:positionV>
                <wp:extent cx="6120130" cy="1610360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640" cy="160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left"/>
                              <w:tblInd w:w="22" w:type="dxa"/>
                              <w:tblCellMar>
                                <w:top w:w="0" w:type="dxa"/>
                                <w:left w:w="18" w:type="dxa"/>
                                <w:bottom w:w="0" w:type="dxa"/>
                                <w:right w:w="108" w:type="dxa"/>
                              </w:tblCellMar>
                              <w:tblLook w:noVBand="0" w:val="01e0" w:noHBand="0" w:lastColumn="1" w:firstColumn="1" w:lastRow="1" w:firstRow="1"/>
                            </w:tblPr>
                            <w:tblGrid>
                              <w:gridCol w:w="2409"/>
                              <w:gridCol w:w="2395"/>
                              <w:gridCol w:w="2416"/>
                              <w:gridCol w:w="2417"/>
                            </w:tblGrid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Количество выпускников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Количество детей, поступающих в МОБУ СОШ с.Ангасяк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Успеваемость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19 (100 %)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 (100 %)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8 (100 %)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16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16 (100 %)</w:t>
                                  </w:r>
                                </w:p>
                              </w:tc>
                              <w:tc>
                                <w:tcPr>
                                  <w:tcW w:w="241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eastAsia="Times New Roman" w:cs="Times New Roman" w:ascii="Times New Roman" w:hAnsi="Times New Roman"/>
                                      <w:color w:val="00000A"/>
                                      <w:sz w:val="24"/>
                                      <w:szCs w:val="24"/>
                                      <w:lang w:eastAsia="ru-RU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3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id="shape_0" ID="Врезка1" stroked="f" style="position:absolute;margin-left:-5.5pt;margin-top:5.1pt;width:481.8pt;height:126.7pt;mso-position-horizontal-relative:margin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5000" w:type="pct"/>
                        <w:jc w:val="left"/>
                        <w:tblInd w:w="22" w:type="dxa"/>
                        <w:tblCellMar>
                          <w:top w:w="0" w:type="dxa"/>
                          <w:left w:w="18" w:type="dxa"/>
                          <w:bottom w:w="0" w:type="dxa"/>
                          <w:right w:w="108" w:type="dxa"/>
                        </w:tblCellMar>
                        <w:tblLook w:noVBand="0" w:val="01e0" w:noHBand="0" w:lastColumn="1" w:firstColumn="1" w:lastRow="1" w:firstRow="1"/>
                      </w:tblPr>
                      <w:tblGrid>
                        <w:gridCol w:w="2409"/>
                        <w:gridCol w:w="2395"/>
                        <w:gridCol w:w="2416"/>
                        <w:gridCol w:w="2417"/>
                      </w:tblGrid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Количество выпускников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Количество детей, поступающих в МОБУ СОШ с.Ангасяк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Успеваемость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19 (100 %)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 (100 %)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8 (100 %)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40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16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16 (100 %)</w:t>
                            </w:r>
                          </w:p>
                        </w:tc>
                        <w:tc>
                          <w:tcPr>
                            <w:tcW w:w="241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color w:val="00000A"/>
                                <w:sz w:val="24"/>
                                <w:szCs w:val="24"/>
                                <w:lang w:eastAsia="ru-RU"/>
                              </w:rPr>
                              <w:t>100 %</w:t>
                            </w:r>
                          </w:p>
                        </w:tc>
                      </w:tr>
                    </w:tbl>
                    <w:p>
                      <w:pPr>
                        <w:pStyle w:val="Style31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связи с введением Федеральных государственных требований в образовании с сентября 2010 года в соответствии с приказом МО и науки РФ № 655, в структуру образовательной программы был добавлен раздел «Преемственность ДОУ и школы», в котором определены цели и задачи преемственности, выделены показатели и критерии «портрета выпускника» детского сада, определены критерии сформированности предпосылок учебной деятельности у детей дошкольного возраста. Для практического освоения преемственных связей ФГТ и ФГОС в ДОУ провели педсовет «Ознакомление с ФГТ», родительское собрание «Подготовка к школе в системе детский сад – семья – школа».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  <w:bookmarkStart w:id="3" w:name="_GoBack"/>
      <w:bookmarkStart w:id="4" w:name="_GoBack"/>
      <w:bookmarkEnd w:id="4"/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2.5. Работа с родителями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Понимая, что решение всех задач по воспитанию детей возможно только при тесном контакте с родителями, педагогический коллектив МБДОУ Детский сад  «Аленький цветочек» с.Ангасяк старался привлечь родителей к сотрудничеству во всех сферах деятельности. В детском саду имеется разнообразный консультативный материал для изучения родителями по всем интересующим вопросам. Для повышения педагогической компетенции родителей для них организованы: консультации, беседы, систематическое обновление и оформление наглядной агитации, анализ анкетирования, родительские собрания с просмотром игровых ситуаций. 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2.6. Итоги и перспективы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Подводя итоги работы за  2018-2020 годы по реализации Программы развития, можно сделать следующие выводы: </w:t>
      </w:r>
    </w:p>
    <w:p>
      <w:pPr>
        <w:pStyle w:val="Normal"/>
        <w:spacing w:lineRule="auto" w:line="240" w:before="0" w:after="0"/>
        <w:ind w:first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Работа коллектива в МБДОУ Детский сад  «Аленький цветочек» с. Ангасяк была направлена на успешное решение поставленных задач, велась систематически и планомерно;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 пакет нормативных документов, необходимых для функционирования ДОУ: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обновлен Устав;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внесены дополнения в штатное расписание;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разработаны дифференцированные должностные инструкции;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разработаны и утверждены рабочие программы педагогов;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обновлен пакет локальных актов учреждения;</w:t>
      </w:r>
    </w:p>
    <w:p>
      <w:pPr>
        <w:pStyle w:val="Normal"/>
        <w:spacing w:lineRule="auto" w:line="240" w:before="0" w:after="0"/>
        <w:ind w:left="0" w:right="245" w:firstLine="36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создана рабочая группа из числа педагогов и медицинских работников для разработки проекта Программы развития ДОУ.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  <w:t>3.Цель и задачи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Про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22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3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5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5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4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5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4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4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16"/>
          <w:sz w:val="28"/>
          <w:szCs w:val="28"/>
          <w:lang w:eastAsia="ru-RU"/>
        </w:rPr>
        <w:t xml:space="preserve"> «Об образовании в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ий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Ф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и» </w:t>
      </w:r>
      <w:r>
        <w:rPr>
          <w:rFonts w:eastAsia="Times New Roman" w:cs="Times New Roman" w:ascii="Times New Roman" w:hAnsi="Times New Roman"/>
          <w:spacing w:val="1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"/>
          <w:sz w:val="28"/>
          <w:szCs w:val="28"/>
          <w:lang w:eastAsia="ru-RU"/>
        </w:rPr>
        <w:t xml:space="preserve"> «Об образовании в 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н»,</w:t>
      </w:r>
      <w:r>
        <w:rPr>
          <w:rFonts w:eastAsia="Times New Roman" w:cs="Times New Roman" w:ascii="Times New Roman" w:hAnsi="Times New Roman"/>
          <w:spacing w:val="1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нап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ния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ци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эк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района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8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2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3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опре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3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1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ния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spacing w:val="1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ро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ер</w:t>
      </w:r>
      <w:r>
        <w:rPr>
          <w:rFonts w:eastAsia="Times New Roman" w:cs="Times New Roman" w:ascii="Times New Roman" w:hAnsi="Times New Roman"/>
          <w:spacing w:val="18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му</w:t>
      </w:r>
      <w:r>
        <w:rPr>
          <w:rFonts w:eastAsia="Times New Roman" w:cs="Times New Roman" w:ascii="Times New Roman" w:hAnsi="Times New Roman"/>
          <w:spacing w:val="8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ей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7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в,</w:t>
      </w:r>
      <w:r>
        <w:rPr>
          <w:rFonts w:eastAsia="Times New Roman" w:cs="Times New Roman" w:ascii="Times New Roman" w:hAnsi="Times New Roman"/>
          <w:spacing w:val="7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,</w:t>
      </w:r>
      <w:r>
        <w:rPr>
          <w:rFonts w:eastAsia="Times New Roman" w:cs="Times New Roman" w:ascii="Times New Roman" w:hAnsi="Times New Roman"/>
          <w:spacing w:val="7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7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7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6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района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</w:p>
    <w:p>
      <w:pPr>
        <w:pStyle w:val="Normal"/>
        <w:widowControl w:val="false"/>
        <w:tabs>
          <w:tab w:val="clear" w:pos="708"/>
          <w:tab w:val="left" w:pos="1468" w:leader="none"/>
          <w:tab w:val="left" w:pos="3236" w:leader="none"/>
          <w:tab w:val="left" w:pos="4330" w:leader="none"/>
          <w:tab w:val="left" w:pos="5706" w:leader="none"/>
          <w:tab w:val="left" w:pos="7340" w:leader="none"/>
          <w:tab w:val="left" w:pos="8958" w:leader="none"/>
        </w:tabs>
        <w:spacing w:lineRule="auto" w:line="240" w:before="0" w:after="0"/>
        <w:ind w:right="0"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9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ро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spacing w:val="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-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но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нно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я,</w:t>
      </w:r>
      <w:r>
        <w:rPr>
          <w:rFonts w:eastAsia="Times New Roman" w:cs="Times New Roman" w:ascii="Times New Roman" w:hAnsi="Times New Roman"/>
          <w:spacing w:val="1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21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бо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ям 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нн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ци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о 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я 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и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Б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, 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 xml:space="preserve">о 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13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20"/>
          <w:w w:val="102"/>
          <w:sz w:val="28"/>
          <w:szCs w:val="28"/>
          <w:lang w:eastAsia="ru-RU"/>
        </w:rPr>
        <w:t>э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ффе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5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6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7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п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5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7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ус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spacing w:val="11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6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66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1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ли</w:t>
      </w:r>
      <w:r>
        <w:rPr>
          <w:rFonts w:eastAsia="Times New Roman" w:cs="Times New Roman" w:ascii="Times New Roman" w:hAnsi="Times New Roman"/>
          <w:spacing w:val="14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ц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6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</w:t>
      </w:r>
      <w:r>
        <w:rPr>
          <w:rFonts w:eastAsia="Times New Roman" w:cs="Times New Roman" w:ascii="Times New Roman" w:hAnsi="Times New Roman"/>
          <w:spacing w:val="12"/>
          <w:w w:val="102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н</w:t>
      </w:r>
      <w:r>
        <w:rPr>
          <w:rFonts w:eastAsia="Times New Roman" w:cs="Times New Roman" w:ascii="Times New Roman" w:hAnsi="Times New Roman"/>
          <w:spacing w:val="6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те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47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4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2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6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ти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ж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ени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pacing w:val="35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анно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й</w:t>
      </w:r>
      <w:r>
        <w:rPr>
          <w:rFonts w:eastAsia="Times New Roman" w:cs="Times New Roman" w:ascii="Times New Roman" w:hAnsi="Times New Roman"/>
          <w:spacing w:val="3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цел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3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необ</w:t>
      </w:r>
      <w:r>
        <w:rPr>
          <w:rFonts w:eastAsia="Times New Roman" w:cs="Times New Roman" w:ascii="Times New Roman" w:hAnsi="Times New Roman"/>
          <w:spacing w:val="7"/>
          <w:w w:val="102"/>
          <w:sz w:val="28"/>
          <w:szCs w:val="28"/>
          <w:lang w:eastAsia="ru-RU"/>
        </w:rPr>
        <w:t>х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мо</w:t>
      </w:r>
      <w:r>
        <w:rPr>
          <w:rFonts w:eastAsia="Times New Roman" w:cs="Times New Roman" w:ascii="Times New Roman" w:hAnsi="Times New Roman"/>
          <w:spacing w:val="3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ре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ш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ит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ь</w:t>
      </w:r>
      <w:r>
        <w:rPr>
          <w:rFonts w:eastAsia="Times New Roman" w:cs="Times New Roman" w:ascii="Times New Roman" w:hAnsi="Times New Roman"/>
          <w:spacing w:val="39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ле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8"/>
          <w:w w:val="102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ю</w:t>
      </w:r>
      <w:r>
        <w:rPr>
          <w:rFonts w:eastAsia="Times New Roman" w:cs="Times New Roman" w:ascii="Times New Roman" w:hAnsi="Times New Roman"/>
          <w:spacing w:val="19"/>
          <w:w w:val="102"/>
          <w:sz w:val="28"/>
          <w:szCs w:val="28"/>
          <w:lang w:eastAsia="ru-RU"/>
        </w:rPr>
        <w:t>щ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е</w:t>
      </w:r>
      <w:r>
        <w:rPr>
          <w:rFonts w:eastAsia="Times New Roman" w:cs="Times New Roman" w:ascii="Times New Roman" w:hAnsi="Times New Roman"/>
          <w:spacing w:val="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1"/>
          <w:w w:val="10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5"/>
          <w:w w:val="102"/>
          <w:sz w:val="28"/>
          <w:szCs w:val="28"/>
          <w:lang w:eastAsia="ru-RU"/>
        </w:rPr>
        <w:t>д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pacing w:val="2"/>
          <w:w w:val="102"/>
          <w:sz w:val="28"/>
          <w:szCs w:val="28"/>
          <w:lang w:eastAsia="ru-RU"/>
        </w:rPr>
        <w:t>ч</w:t>
      </w: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w w:val="102"/>
          <w:sz w:val="28"/>
          <w:szCs w:val="28"/>
          <w:lang w:eastAsia="ru-RU"/>
        </w:rPr>
        <w:t>:</w:t>
      </w:r>
    </w:p>
    <w:p>
      <w:pPr>
        <w:pStyle w:val="Normal"/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дальнейшее сохранение 100 процентов доступности дошкольного образования для детей в возрасте от 1,5 лет до 7 лет;</w:t>
      </w:r>
    </w:p>
    <w:p>
      <w:pPr>
        <w:pStyle w:val="Normal"/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-организация работы по  федеральному государственному образовательному стандарту дошкольного образования во всех организациях, реализующих программы дошкольного образования;</w:t>
      </w:r>
    </w:p>
    <w:p>
      <w:pPr>
        <w:pStyle w:val="Normal"/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организация работы с одарёнными детьми;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-охрана и укрепление здоровья детей, социальная поддержка детей из многодетных малоимущих семей;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-самореализация и социальная адаптация детей через  дополнительное образование;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регулярное прохождение курсов повышения квалификации педагогическими работниками,  участие в конкурсах профессионального мастерства, охрана и укрепление здоровья педагогических работников, повышение оплаты их труда.  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4. Сроки и этапы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firstLine="708"/>
        <w:rPr/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  <w:t>Программа реализуется в 2021-2023 годах  без деления на этапы.</w:t>
      </w:r>
    </w:p>
    <w:p>
      <w:pPr>
        <w:pStyle w:val="Normal"/>
        <w:widowControl w:val="false"/>
        <w:spacing w:lineRule="auto" w:line="240" w:before="0" w:after="0"/>
        <w:ind w:right="0" w:firstLine="708"/>
        <w:rPr>
          <w:rFonts w:ascii="Times New Roman" w:hAnsi="Times New Roman" w:eastAsia="Times New Roman" w:cs="Times New Roman"/>
          <w:spacing w:val="0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0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0"/>
          <w:w w:val="102"/>
          <w:sz w:val="28"/>
          <w:szCs w:val="28"/>
          <w:lang w:eastAsia="ru-RU"/>
        </w:rPr>
        <w:t>5</w:t>
      </w:r>
      <w:r>
        <w:rPr>
          <w:rFonts w:eastAsia="Times New Roman" w:cs="Times New Roman" w:ascii="Times New Roman" w:hAnsi="Times New Roman"/>
          <w:b/>
          <w:w w:val="102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  <w:t xml:space="preserve"> Ресурсное обеспечение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1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12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Ресурсное обеспечение Программы представляет собой совокупность финансовых, имущественных, материальных, информационных, человеческих  ресурсов. Финансовое обеспечение Программы осуществляется за счет средств федерального бюджета, бюджета Республики Башкортостан, местного бюджета и внебюджетных источников. 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 xml:space="preserve">Объем финансирования Программы составляет13612  тыс.рублей, 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из них по годам: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2021 году – 4529тыс.руб;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2022 году-  4534 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2023 году-  4549 тыс.руб;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 том числе за счет средств: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а)  муниципального бюджета 4128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б) бюджета Республики Башкортостан   8524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в) федерального бюджета       -     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/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г) внебюджетных средств 960 тыс.руб.</w:t>
      </w:r>
    </w:p>
    <w:p>
      <w:pPr>
        <w:pStyle w:val="Normal"/>
        <w:widowControl w:val="false"/>
        <w:spacing w:lineRule="auto" w:line="240" w:before="0" w:after="0"/>
        <w:ind w:right="0" w:hanging="0"/>
        <w:jc w:val="both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  <w:t>6. План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right="0" w:firstLine="708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План реализации Программы  содержит мероприятия, направленные на достижение целей, задач Программы, сроки их реализации, финансовые ресурсы, исполнители и соисполнители мероприятий, целевые индикаторы и показатели, для достижения которых реализуется основное мероприятие, а также показатели непосредственного результата реализации мероприятий.</w:t>
      </w:r>
    </w:p>
    <w:p>
      <w:pPr>
        <w:pStyle w:val="Normal"/>
        <w:widowControl w:val="false"/>
        <w:spacing w:lineRule="auto" w:line="240" w:before="0" w:after="0"/>
        <w:ind w:right="0" w:firstLine="708"/>
        <w:jc w:val="both"/>
        <w:rPr>
          <w:rFonts w:ascii="Times New Roman" w:hAnsi="Times New Roman" w:eastAsia="Times New Roman" w:cs="Times New Roman"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3"/>
          <w:w w:val="102"/>
          <w:sz w:val="28"/>
          <w:szCs w:val="28"/>
          <w:lang w:eastAsia="ru-RU"/>
        </w:rPr>
        <w:t>План реализации Программы с указанием общих объемов финансового  обеспечения реализации Программы (по годам) представлен в приложении №1 к программе.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Перспективный план работы на2021-2023гг.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4850" w:type="pct"/>
        <w:jc w:val="left"/>
        <w:tblInd w:w="208" w:type="dxa"/>
        <w:tblCellMar>
          <w:top w:w="15" w:type="dxa"/>
          <w:left w:w="5" w:type="dxa"/>
          <w:bottom w:w="15" w:type="dxa"/>
          <w:right w:w="5" w:type="dxa"/>
        </w:tblCellMar>
        <w:tblLook w:noVBand="1" w:val="04a0" w:noHBand="0" w:lastColumn="0" w:firstColumn="1" w:lastRow="0" w:firstRow="1"/>
      </w:tblPr>
      <w:tblGrid>
        <w:gridCol w:w="298"/>
        <w:gridCol w:w="3233"/>
        <w:gridCol w:w="1554"/>
        <w:gridCol w:w="2467"/>
        <w:gridCol w:w="1796"/>
      </w:tblGrid>
      <w:tr>
        <w:trPr/>
        <w:tc>
          <w:tcPr>
            <w:tcW w:w="29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2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Этапы, сроки их выполнения</w:t>
            </w:r>
          </w:p>
        </w:tc>
        <w:tc>
          <w:tcPr>
            <w:tcW w:w="42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Сведения об источниках, формах, механизмах, привлечения трудовых, материальных ресурсов для их реализации</w:t>
            </w:r>
          </w:p>
        </w:tc>
      </w:tr>
      <w:tr>
        <w:trPr/>
        <w:tc>
          <w:tcPr>
            <w:tcW w:w="298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323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554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Источники финансирования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Исполнители </w:t>
            </w:r>
          </w:p>
        </w:tc>
      </w:tr>
      <w:tr>
        <w:trPr/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Замена оконных блоков 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Средства бюджета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>
          <w:trHeight w:val="1335" w:hRule="atLeast"/>
        </w:trPr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Косметический ремонт отмоски  здания ДОУ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Средства бюджета. 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Заведующий </w:t>
            </w:r>
          </w:p>
        </w:tc>
      </w:tr>
      <w:tr>
        <w:trPr/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Замена системы водоснабжения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Средства бюджета. 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/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Приобретение недостающего игрового инвентаря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>
          <w:trHeight w:val="1768" w:hRule="atLeast"/>
        </w:trPr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Продолжение оснащения методического кабинета в соответствии с ФГОС ДО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/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Приобретение дидактического и игрового материала для оснащения  развивающей предметно-пространственной среды в соответствии с ФГОС.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2021-2023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Средства субвенции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  <w:tr>
        <w:trPr/>
        <w:tc>
          <w:tcPr>
            <w:tcW w:w="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Отчёт творческой группы по реализации проекта</w:t>
            </w:r>
          </w:p>
        </w:tc>
        <w:tc>
          <w:tcPr>
            <w:tcW w:w="1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/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Без финансирования</w:t>
            </w:r>
          </w:p>
        </w:tc>
        <w:tc>
          <w:tcPr>
            <w:tcW w:w="1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6"/>
                <w:szCs w:val="26"/>
                <w:lang w:eastAsia="ru-RU"/>
              </w:rPr>
              <w:t>Заведующий</w:t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  <w:r>
        <w:br w:type="page"/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  <w:t>7. Оценка эффективности реализации Программы</w:t>
      </w:r>
    </w:p>
    <w:p>
      <w:pPr>
        <w:pStyle w:val="Normal"/>
        <w:widowControl w:val="false"/>
        <w:spacing w:lineRule="auto" w:line="240" w:before="0" w:after="0"/>
        <w:ind w:right="0" w:hanging="0"/>
        <w:jc w:val="center"/>
        <w:rPr>
          <w:rFonts w:ascii="Times New Roman" w:hAnsi="Times New Roman" w:eastAsia="Times New Roman" w:cs="Times New Roman"/>
          <w:b/>
          <w:b/>
          <w:spacing w:val="3"/>
          <w:w w:val="10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pacing w:val="3"/>
          <w:w w:val="102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Методика оценки эффективности Программы представляет собой алгоритм оценки фактической эффективности в процессе и по итогам реализации Программы и основывается на оценке результативности с учетом объема ресурсов, направленных на ее реализацию, а также реализацию рисков и социально-экономических эффектов, оказывающих влияние на изменение системы образования муниципального района Дюртюлинский район Республики Башкортостан.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Эффективность реализации Программы определяется путем оценки: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степени достижения плановых значений целевых индикаторов и показателей Программы;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степени реализации подпрограмм, входящих в состав Программы;</w:t>
      </w:r>
    </w:p>
    <w:p>
      <w:pPr>
        <w:pStyle w:val="Normal"/>
        <w:numPr>
          <w:ilvl w:val="0"/>
          <w:numId w:val="1"/>
        </w:numPr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степени соответствия финансовых затрат на реализацию подпрограмм запланированному уровню затрат.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 w:bidi="hi-IN"/>
        </w:rPr>
        <w:t>Оценка эффективности реализации Программы проводится по итогам отчетного финансового года, а также в целом после завершения реализации Программы.</w:t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Приложение № 1</w:t>
      </w:r>
    </w:p>
    <w:p>
      <w:pPr>
        <w:pStyle w:val="Normal"/>
        <w:suppressAutoHyphens w:val="true"/>
        <w:spacing w:lineRule="auto" w:line="240" w:before="0" w:after="0"/>
        <w:ind w:left="9072" w:hanging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к программе развития</w:t>
      </w:r>
    </w:p>
    <w:p>
      <w:pPr>
        <w:pStyle w:val="Normal"/>
        <w:suppressAutoHyphens w:val="true"/>
        <w:spacing w:lineRule="auto" w:line="240" w:before="0" w:after="0"/>
        <w:ind w:left="9072" w:hanging="0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" МБДОУ Детский сад «Аленький цветочек» с.Ангасяк МР Дюртюлинский район РБ"</w:t>
      </w:r>
    </w:p>
    <w:p>
      <w:pPr>
        <w:pStyle w:val="Normal"/>
        <w:suppressAutoHyphens w:val="true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на 2021 - 2023 годы</w:t>
      </w:r>
    </w:p>
    <w:p>
      <w:pPr>
        <w:pStyle w:val="Normal"/>
        <w:spacing w:lineRule="auto" w:line="240" w:before="0" w:after="0"/>
        <w:ind w:left="2045" w:right="2108" w:hanging="1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2045" w:right="2108" w:hanging="1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ПЛАН РЕАЛИЗАЦИИ  </w:t>
      </w:r>
    </w:p>
    <w:p>
      <w:pPr>
        <w:pStyle w:val="Normal"/>
        <w:spacing w:lineRule="auto" w:line="240" w:before="0" w:after="0"/>
        <w:ind w:left="10" w:right="82" w:hanging="10"/>
        <w:jc w:val="center"/>
        <w:rPr/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ru-RU"/>
        </w:rPr>
        <w:t xml:space="preserve">программы развития МБДОУ Детский сад «Аленький цветочек» с.Ангасяк МР Дюртюлинский район РБ </w:t>
      </w:r>
    </w:p>
    <w:p>
      <w:pPr>
        <w:pStyle w:val="Normal"/>
        <w:suppressAutoHyphens w:val="true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sz w:val="24"/>
          <w:szCs w:val="24"/>
          <w:u w:val="single"/>
          <w:lang w:eastAsia="zh-CN" w:bidi="hi-IN"/>
        </w:rPr>
        <w:t>на 2021 - 2023 годы</w: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11055" w:type="dxa"/>
        <w:jc w:val="left"/>
        <w:tblInd w:w="-856" w:type="dxa"/>
        <w:tblCellMar>
          <w:top w:w="7" w:type="dxa"/>
          <w:left w:w="5" w:type="dxa"/>
          <w:bottom w:w="0" w:type="dxa"/>
          <w:right w:w="5" w:type="dxa"/>
        </w:tblCellMar>
        <w:tblLook w:noVBand="0" w:val="00a0" w:noHBand="0" w:lastColumn="0" w:firstColumn="1" w:lastRow="0" w:firstRow="1"/>
      </w:tblPr>
      <w:tblGrid>
        <w:gridCol w:w="1105"/>
        <w:gridCol w:w="1105"/>
        <w:gridCol w:w="1106"/>
        <w:gridCol w:w="1105"/>
        <w:gridCol w:w="1106"/>
        <w:gridCol w:w="1105"/>
        <w:gridCol w:w="1105"/>
        <w:gridCol w:w="1106"/>
        <w:gridCol w:w="1105"/>
        <w:gridCol w:w="1106"/>
      </w:tblGrid>
      <w:tr>
        <w:trPr>
          <w:trHeight w:val="655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Исполни</w:t>
            </w:r>
          </w:p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тель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(соиспол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нитель)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Прогнозируемый объем финансирования, тыс. руб.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2820" w:leader="none"/>
              </w:tabs>
              <w:spacing w:lineRule="auto" w:line="235" w:before="0" w:after="0"/>
              <w:ind w:left="57" w:right="57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Непосредствен</w:t>
            </w:r>
          </w:p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ный результат  реализации мероприятия, единица измерения</w:t>
            </w:r>
          </w:p>
        </w:tc>
        <w:tc>
          <w:tcPr>
            <w:tcW w:w="44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Значение непосредствен</w:t>
            </w:r>
          </w:p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ного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результата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(по годам)</w:t>
            </w:r>
          </w:p>
        </w:tc>
      </w:tr>
      <w:tr>
        <w:trPr>
          <w:trHeight w:val="1608" w:hRule="atLeast"/>
        </w:trPr>
        <w:tc>
          <w:tcPr>
            <w:tcW w:w="110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151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60" w:hanging="1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9" w:right="14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5" w:right="2" w:hanging="6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bottom"/>
          </w:tcPr>
          <w:p>
            <w:pPr>
              <w:pStyle w:val="Normal"/>
              <w:spacing w:lineRule="auto" w:line="259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6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Всего по муниципальной программе, в том числе: 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13621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4529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4534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4549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6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Государственная поддержка системы дошкольного образования, 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4713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Количество педагогических работников дошкольных образовательных учреждений, чел.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29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76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бюджет Республики Башкортостан  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4713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1571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71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71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3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1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Исполни</w:t>
            </w:r>
          </w:p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тель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(соиспол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нитель)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Прогнозируемый объем финансирования, тыс. руб.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Непосредствен</w:t>
            </w:r>
          </w:p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ный результат  реализации мероприятия, единица измерения</w:t>
            </w:r>
          </w:p>
        </w:tc>
        <w:tc>
          <w:tcPr>
            <w:tcW w:w="44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Значение непосредствен</w:t>
            </w:r>
          </w:p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ного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результата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(по годам)</w:t>
            </w:r>
          </w:p>
        </w:tc>
      </w:tr>
      <w:tr>
        <w:trPr>
          <w:trHeight w:val="653" w:hRule="atLeast"/>
        </w:trPr>
        <w:tc>
          <w:tcPr>
            <w:tcW w:w="110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151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60" w:hanging="1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9" w:right="14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5" w:right="2" w:hanging="6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3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Предоставление дошкольного образования        в дошкольных муниципальных образовательных учреждениях, в том числе 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7885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2620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2625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2640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Количество  детей, получающих дошкольное образование, чел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54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3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бюджет Республики Башкортостан 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3811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1257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1277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1277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2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4074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1348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1363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47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3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Обеспечение государственных гарантий        прав граждан  на</w:t>
            </w:r>
          </w:p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получение общего образования , в том числе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Количество обучающихся общеобразовательных учреждений района, чел.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60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65" w:hRule="atLeast"/>
        </w:trPr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бюджет Республики Башкортостан  </w:t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rPr>
          <w:rFonts w:ascii="Calibri" w:hAnsi="Calibri" w:eastAsia="Calibri" w:cs="Times New Roman"/>
          <w:lang w:eastAsia="ru-RU"/>
        </w:rPr>
      </w:pPr>
      <w:r>
        <w:rPr>
          <w:rFonts w:eastAsia="Calibri" w:cs="Times New Roman"/>
          <w:lang w:eastAsia="ru-RU"/>
        </w:rPr>
      </w:r>
      <w:r>
        <w:br w:type="page"/>
      </w:r>
    </w:p>
    <w:tbl>
      <w:tblPr>
        <w:tblW w:w="10620" w:type="dxa"/>
        <w:jc w:val="left"/>
        <w:tblInd w:w="-421" w:type="dxa"/>
        <w:tblCellMar>
          <w:top w:w="7" w:type="dxa"/>
          <w:left w:w="5" w:type="dxa"/>
          <w:bottom w:w="0" w:type="dxa"/>
          <w:right w:w="5" w:type="dxa"/>
        </w:tblCellMar>
        <w:tblLook w:noVBand="0" w:val="00a0" w:noHBand="0" w:lastColumn="0" w:firstColumn="1" w:lastRow="0" w:firstRow="1"/>
      </w:tblPr>
      <w:tblGrid>
        <w:gridCol w:w="590"/>
        <w:gridCol w:w="471"/>
        <w:gridCol w:w="1062"/>
        <w:gridCol w:w="747"/>
        <w:gridCol w:w="315"/>
        <w:gridCol w:w="819"/>
        <w:gridCol w:w="243"/>
        <w:gridCol w:w="1062"/>
        <w:gridCol w:w="1062"/>
        <w:gridCol w:w="638"/>
        <w:gridCol w:w="424"/>
        <w:gridCol w:w="1062"/>
        <w:gridCol w:w="1062"/>
        <w:gridCol w:w="1035"/>
        <w:gridCol w:w="23"/>
        <w:gridCol w:w="4"/>
      </w:tblGrid>
      <w:tr>
        <w:trPr>
          <w:trHeight w:val="653" w:hRule="atLeast"/>
        </w:trPr>
        <w:tc>
          <w:tcPr>
            <w:tcW w:w="59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pageBreakBefore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0" w:type="dxa"/>
            <w:gridSpan w:val="3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Наименование  мероприятия/направления  и источники финансирования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Исполни</w:t>
            </w:r>
          </w:p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тель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(соиспол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нитель)</w:t>
            </w:r>
          </w:p>
        </w:tc>
        <w:tc>
          <w:tcPr>
            <w:tcW w:w="30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Прогнозируемый объем финансирования, тыс. руб.</w:t>
            </w:r>
          </w:p>
        </w:tc>
        <w:tc>
          <w:tcPr>
            <w:tcW w:w="3583" w:type="dxa"/>
            <w:gridSpan w:val="4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35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Номер целевого показателя, на достижение которого направлено мероприятие</w:t>
            </w:r>
          </w:p>
        </w:tc>
        <w:tc>
          <w:tcPr>
            <w:tcW w:w="2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Непосредствен</w:t>
            </w:r>
          </w:p>
          <w:p>
            <w:pPr>
              <w:pStyle w:val="Normal"/>
              <w:spacing w:lineRule="auto" w:line="235" w:before="0" w:after="0"/>
              <w:ind w:left="57" w:right="57" w:hanging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ный результат  реализации мероприятия, единица измерения</w:t>
            </w:r>
          </w:p>
        </w:tc>
        <w:tc>
          <w:tcPr>
            <w:tcW w:w="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Значение непосредствен</w:t>
            </w:r>
          </w:p>
          <w:p>
            <w:pPr>
              <w:pStyle w:val="Normal"/>
              <w:spacing w:lineRule="auto" w:line="252" w:before="0" w:after="0"/>
              <w:ind w:left="57" w:right="57" w:firstLine="4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ного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результата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(по годам)</w:t>
            </w:r>
          </w:p>
        </w:tc>
      </w:tr>
      <w:tr>
        <w:trPr>
          <w:trHeight w:val="1302" w:hRule="atLeast"/>
        </w:trPr>
        <w:tc>
          <w:tcPr>
            <w:tcW w:w="1061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151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60" w:hanging="1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9" w:right="14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0"/>
              <w:ind w:left="75" w:right="2" w:hanging="6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65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Предоставление муниципальному району  субвенций на реализацию  основных общеобразова</w:t>
            </w:r>
          </w:p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тельных программ в части финансирования расходов  на оплату труда     работников общеобразова</w:t>
            </w:r>
          </w:p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тельных учреждений, расходов на  учебники и учебные  пособия, техни</w:t>
            </w:r>
          </w:p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ческие средства обучения, расходные материалы  и хозяйственные нужды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Количество педагогических работников общеобразовательных учреждений района, чел.</w:t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36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74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бюджет Республики Башкортостан  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37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89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129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Создание безопасных условий обучения и воспитания</w:t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Количество образовательных учреждений, в которых проведен текущий ремонт, ед.</w:t>
            </w:r>
          </w:p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 том числе местный бюджет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napToGrid w:val="false"/>
              <w:spacing w:lineRule="auto" w:line="252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Осуществление функций государственного управления в сфере образования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МКУ Управление образования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 xml:space="preserve">бюджет Республики Башкортостан  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313" w:hRule="atLeast"/>
        </w:trPr>
        <w:tc>
          <w:tcPr>
            <w:tcW w:w="10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57" w:right="57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/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6" w:hanging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0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0"/>
              <w:ind w:left="108" w:hanging="0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tabs>
          <w:tab w:val="clear" w:pos="708"/>
          <w:tab w:val="left" w:pos="1860" w:leader="none"/>
        </w:tabs>
        <w:rPr>
          <w:rFonts w:eastAsia="Times New Roman" w:cs="Times New Roman"/>
          <w:lang w:eastAsia="zh-CN" w:bidi="hi-IN"/>
        </w:rPr>
      </w:pPr>
      <w:r>
        <w:rPr>
          <w:rFonts w:eastAsia="Times New Roman" w:cs="Times New Roman"/>
          <w:lang w:eastAsia="zh-CN" w:bidi="hi-IN"/>
        </w:rPr>
      </w:r>
    </w:p>
    <w:p>
      <w:pPr>
        <w:pStyle w:val="Normal"/>
        <w:tabs>
          <w:tab w:val="clear" w:pos="708"/>
          <w:tab w:val="left" w:pos="1860" w:leader="none"/>
        </w:tabs>
        <w:rPr/>
      </w:pPr>
      <w:r>
        <w:rPr>
          <w:rFonts w:eastAsia="Times New Roman" w:cs="Times New Roman" w:ascii="Times New Roman" w:hAnsi="Times New Roman"/>
          <w:b/>
          <w:sz w:val="24"/>
          <w:szCs w:val="24"/>
          <w:lang w:eastAsia="zh-CN" w:bidi="hi-IN"/>
        </w:rPr>
        <w:t>Список использованных сокращений</w:t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МКУ Управление образования – муниципальное казенное учреждение Управление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образования   муниципального района Дюртюлинский район Республики Башкортостан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ОУ- образовательное учреждение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 xml:space="preserve">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ДОУ- дошкольное образовательное учреждение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  <w:t>ФГОС- федеральный государственный образовательный стандарт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zh-CN" w:bidi="hi-I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 w:bidi="hi-IN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Заведующий                                          Р.Н.Батыргареева</w:t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1649" w:leader="none"/>
          <w:tab w:val="left" w:pos="1872" w:leader="none"/>
          <w:tab w:val="left" w:pos="2848" w:leader="none"/>
          <w:tab w:val="left" w:pos="4197" w:leader="none"/>
          <w:tab w:val="left" w:pos="4480" w:leader="none"/>
          <w:tab w:val="left" w:pos="5471" w:leader="none"/>
          <w:tab w:val="left" w:pos="6263" w:leader="none"/>
          <w:tab w:val="left" w:pos="7388" w:leader="none"/>
          <w:tab w:val="left" w:pos="9336" w:leader="none"/>
        </w:tabs>
        <w:spacing w:lineRule="auto" w:line="252" w:before="0" w:after="0"/>
        <w:ind w:right="0" w:hanging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Принято на общем собрании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трудового коллектива</w:t>
      </w:r>
    </w:p>
    <w:p>
      <w:pPr>
        <w:pStyle w:val="Normal"/>
        <w:widowControl/>
        <w:bidi w:val="0"/>
        <w:spacing w:lineRule="auto" w:line="276" w:before="0"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№6 от 21.12.2020г </w:t>
      </w:r>
    </w:p>
    <w:p>
      <w:pPr>
        <w:sectPr>
          <w:type w:val="continuous"/>
          <w:pgSz w:w="11906" w:h="16838"/>
          <w:pgMar w:left="1701" w:right="567" w:header="0" w:top="1134" w:footer="0" w:bottom="1134" w:gutter="0"/>
          <w:formProt w:val="false"/>
          <w:textDirection w:val="lrTb"/>
          <w:docGrid w:type="default" w:linePitch="299" w:charSpace="0"/>
        </w:sectPr>
      </w:pP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continuous"/>
      <w:pgSz w:w="11906" w:h="16838"/>
      <w:pgMar w:left="1701" w:right="567" w:header="0" w:top="1134" w:footer="0" w:bottom="1134" w:gutter="0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  <w:font w:name="Times New Roman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8"/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8"/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8"/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8"/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8"/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8"/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8"/>
        <w:rFonts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6031" w:hanging="360"/>
      </w:pPr>
      <w:rPr>
        <w:sz w:val="28"/>
        <w:b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paragraph" w:styleId="4">
    <w:name w:val="Heading 4"/>
    <w:basedOn w:val="Normal"/>
    <w:link w:val="40"/>
    <w:qFormat/>
    <w:rsid w:val="00377748"/>
    <w:pPr>
      <w:keepNext w:val="true"/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link w:val="4"/>
    <w:qFormat/>
    <w:rsid w:val="00377748"/>
    <w:rPr>
      <w:rFonts w:ascii="Times New Roman" w:hAnsi="Times New Roman" w:eastAsia="Times New Roman" w:cs="Times New Roman"/>
      <w:b/>
      <w:bCs/>
      <w:i/>
      <w:iCs/>
      <w:sz w:val="28"/>
      <w:szCs w:val="24"/>
      <w:lang w:eastAsia="ru-RU"/>
    </w:rPr>
  </w:style>
  <w:style w:type="character" w:styleId="Style13" w:customStyle="1">
    <w:name w:val="Основной текст Знак"/>
    <w:basedOn w:val="DefaultParagraphFont"/>
    <w:link w:val="a5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Style14" w:customStyle="1">
    <w:name w:val="Текст выноски Знак"/>
    <w:basedOn w:val="DefaultParagraphFont"/>
    <w:link w:val="a7"/>
    <w:uiPriority w:val="99"/>
    <w:qFormat/>
    <w:rsid w:val="00377748"/>
    <w:rPr>
      <w:rFonts w:ascii="Tahoma" w:hAnsi="Tahoma" w:eastAsia="Times New Roman" w:cs="Tahoma"/>
      <w:sz w:val="16"/>
      <w:szCs w:val="16"/>
      <w:lang w:eastAsia="ru-RU"/>
    </w:rPr>
  </w:style>
  <w:style w:type="character" w:styleId="WW8Num1zfalse" w:customStyle="1">
    <w:name w:val="WW8Num1zfalse"/>
    <w:qFormat/>
    <w:rsid w:val="00377748"/>
    <w:rPr/>
  </w:style>
  <w:style w:type="character" w:styleId="WW8Num1ztrue" w:customStyle="1">
    <w:name w:val="WW8Num1ztrue"/>
    <w:qFormat/>
    <w:rsid w:val="00377748"/>
    <w:rPr/>
  </w:style>
  <w:style w:type="character" w:styleId="WW8Num2zfalse" w:customStyle="1">
    <w:name w:val="WW8Num2zfalse"/>
    <w:qFormat/>
    <w:rsid w:val="00377748"/>
    <w:rPr/>
  </w:style>
  <w:style w:type="character" w:styleId="WW8Num2ztrue" w:customStyle="1">
    <w:name w:val="WW8Num2ztrue"/>
    <w:qFormat/>
    <w:rsid w:val="00377748"/>
    <w:rPr/>
  </w:style>
  <w:style w:type="character" w:styleId="WW8Num3zfalse" w:customStyle="1">
    <w:name w:val="WW8Num3zfalse"/>
    <w:qFormat/>
    <w:rsid w:val="00377748"/>
    <w:rPr/>
  </w:style>
  <w:style w:type="character" w:styleId="WW8Num3ztrue" w:customStyle="1">
    <w:name w:val="WW8Num3ztrue"/>
    <w:qFormat/>
    <w:rsid w:val="00377748"/>
    <w:rPr/>
  </w:style>
  <w:style w:type="character" w:styleId="1" w:customStyle="1">
    <w:name w:val="Основной шрифт абзаца1"/>
    <w:qFormat/>
    <w:rsid w:val="00377748"/>
    <w:rPr/>
  </w:style>
  <w:style w:type="character" w:styleId="Style15">
    <w:name w:val="Интернет-ссылка"/>
    <w:uiPriority w:val="99"/>
    <w:rsid w:val="00377748"/>
    <w:rPr>
      <w:rFonts w:cs="Times New Roman"/>
      <w:color w:val="000080"/>
      <w:u w:val="single"/>
      <w:lang w:eastAsia="x-none"/>
    </w:rPr>
  </w:style>
  <w:style w:type="character" w:styleId="Style16" w:customStyle="1">
    <w:name w:val="Верхний колонтитул Знак"/>
    <w:basedOn w:val="DefaultParagraphFont"/>
    <w:link w:val="ad"/>
    <w:uiPriority w:val="99"/>
    <w:qFormat/>
    <w:rsid w:val="00377748"/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character" w:styleId="Style17" w:customStyle="1">
    <w:name w:val="Нижний колонтитул Знак"/>
    <w:basedOn w:val="DefaultParagraphFont"/>
    <w:link w:val="af"/>
    <w:uiPriority w:val="99"/>
    <w:qFormat/>
    <w:rsid w:val="00377748"/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character" w:styleId="Style18" w:customStyle="1">
    <w:name w:val="Основной текст с отступом Знак"/>
    <w:basedOn w:val="DefaultParagraphFont"/>
    <w:link w:val="af4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2" w:customStyle="1">
    <w:name w:val="Основной текст 2 Знак"/>
    <w:basedOn w:val="DefaultParagraphFont"/>
    <w:link w:val="20"/>
    <w:uiPriority w:val="99"/>
    <w:qFormat/>
    <w:rsid w:val="00377748"/>
    <w:rPr>
      <w:rFonts w:ascii="Calibri" w:hAnsi="Calibri" w:eastAsia="Times New Roman" w:cs="Times New Roman"/>
      <w:lang w:eastAsia="ru-RU"/>
    </w:rPr>
  </w:style>
  <w:style w:type="character" w:styleId="Applestylespan" w:customStyle="1">
    <w:name w:val="apple-style-span"/>
    <w:qFormat/>
    <w:rsid w:val="00377748"/>
    <w:rPr/>
  </w:style>
  <w:style w:type="character" w:styleId="3" w:customStyle="1">
    <w:name w:val="Основной текст 3 Знак"/>
    <w:basedOn w:val="DefaultParagraphFont"/>
    <w:link w:val="3"/>
    <w:uiPriority w:val="99"/>
    <w:qFormat/>
    <w:rsid w:val="00377748"/>
    <w:rPr>
      <w:rFonts w:ascii="Calibri" w:hAnsi="Calibri" w:eastAsia="Times New Roman" w:cs="Calibri"/>
      <w:sz w:val="16"/>
      <w:szCs w:val="16"/>
    </w:rPr>
  </w:style>
  <w:style w:type="character" w:styleId="31" w:customStyle="1">
    <w:name w:val="Основной текст с отступом 3 Знак"/>
    <w:basedOn w:val="DefaultParagraphFont"/>
    <w:link w:val="32"/>
    <w:uiPriority w:val="99"/>
    <w:semiHidden/>
    <w:qFormat/>
    <w:rsid w:val="00f91ff5"/>
    <w:rPr>
      <w:sz w:val="16"/>
      <w:szCs w:val="16"/>
    </w:rPr>
  </w:style>
  <w:style w:type="character" w:styleId="Style19">
    <w:name w:val="Символ нумерации"/>
    <w:qFormat/>
    <w:rPr/>
  </w:style>
  <w:style w:type="paragraph" w:styleId="Style20" w:customStyle="1">
    <w:name w:val="Заголовок"/>
    <w:basedOn w:val="Normal"/>
    <w:next w:val="Style21"/>
    <w:qFormat/>
    <w:rsid w:val="00377748"/>
    <w:pPr>
      <w:keepNext w:val="true"/>
      <w:widowControl w:val="false"/>
      <w:suppressAutoHyphens w:val="true"/>
      <w:spacing w:lineRule="auto" w:line="240" w:before="240" w:after="120"/>
      <w:textAlignment w:val="baseline"/>
    </w:pPr>
    <w:rPr>
      <w:rFonts w:ascii="Arial" w:hAnsi="Arial" w:eastAsia="Arial Unicode MS" w:cs="Mangal"/>
      <w:sz w:val="28"/>
      <w:szCs w:val="28"/>
      <w:lang w:eastAsia="zh-CN" w:bidi="hi-IN"/>
    </w:rPr>
  </w:style>
  <w:style w:type="paragraph" w:styleId="Style21">
    <w:name w:val="Body Text"/>
    <w:basedOn w:val="Normal"/>
    <w:link w:val="a6"/>
    <w:uiPriority w:val="99"/>
    <w:unhideWhenUsed/>
    <w:rsid w:val="00377748"/>
    <w:pPr>
      <w:spacing w:before="0" w:after="120"/>
    </w:pPr>
    <w:rPr>
      <w:rFonts w:ascii="Calibri" w:hAnsi="Calibri" w:eastAsia="Times New Roman" w:cs="Times New Roman"/>
      <w:lang w:eastAsia="ru-RU"/>
    </w:rPr>
  </w:style>
  <w:style w:type="paragraph" w:styleId="Style22">
    <w:name w:val="List"/>
    <w:basedOn w:val="Style21"/>
    <w:uiPriority w:val="99"/>
    <w:rsid w:val="00377748"/>
    <w:pPr>
      <w:widowControl w:val="false"/>
      <w:suppressAutoHyphens w:val="true"/>
      <w:spacing w:lineRule="auto" w:line="24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Hindi"/>
    </w:rPr>
  </w:style>
  <w:style w:type="paragraph" w:styleId="21" w:customStyle="1">
    <w:name w:val="Основной текст 21"/>
    <w:basedOn w:val="Normal"/>
    <w:qFormat/>
    <w:rsid w:val="00377748"/>
    <w:pPr>
      <w:widowControl w:val="false"/>
      <w:suppressAutoHyphens w:val="true"/>
      <w:spacing w:lineRule="auto" w:line="240" w:before="0" w:after="0"/>
      <w:jc w:val="both"/>
    </w:pPr>
    <w:rPr>
      <w:rFonts w:ascii="Times New Roman" w:hAnsi="Times New Roman" w:eastAsia="Arial Unicode MS" w:cs="Mangal"/>
      <w:sz w:val="28"/>
      <w:szCs w:val="24"/>
      <w:lang w:eastAsia="zh-CN" w:bidi="hi-IN"/>
    </w:rPr>
  </w:style>
  <w:style w:type="paragraph" w:styleId="11" w:customStyle="1">
    <w:name w:val="Абзац списка1"/>
    <w:basedOn w:val="Normal"/>
    <w:qFormat/>
    <w:rsid w:val="00377748"/>
    <w:pPr>
      <w:suppressAutoHyphens w:val="true"/>
      <w:ind w:left="720" w:hanging="0"/>
    </w:pPr>
    <w:rPr>
      <w:rFonts w:ascii="Calibri" w:hAnsi="Calibri" w:eastAsia="Arial Unicode MS" w:cs="Calibri"/>
      <w:lang w:eastAsia="zh-CN" w:bidi="hi-IN"/>
    </w:rPr>
  </w:style>
  <w:style w:type="paragraph" w:styleId="22" w:customStyle="1">
    <w:name w:val="Основной текст с отступом 22"/>
    <w:basedOn w:val="Normal"/>
    <w:qFormat/>
    <w:rsid w:val="00377748"/>
    <w:pPr>
      <w:suppressAutoHyphens w:val="true"/>
      <w:spacing w:lineRule="auto" w:line="480" w:before="0" w:after="120"/>
      <w:ind w:left="283" w:hanging="0"/>
    </w:pPr>
    <w:rPr>
      <w:rFonts w:ascii="Times New Roman" w:hAnsi="Times New Roman" w:eastAsia="Arial Unicode MS" w:cs="Mangal"/>
      <w:sz w:val="24"/>
      <w:szCs w:val="24"/>
      <w:lang w:eastAsia="zh-CN" w:bidi="hi-IN"/>
    </w:rPr>
  </w:style>
  <w:style w:type="paragraph" w:styleId="BalloonText">
    <w:name w:val="Balloon Text"/>
    <w:basedOn w:val="Normal"/>
    <w:link w:val="a8"/>
    <w:uiPriority w:val="99"/>
    <w:unhideWhenUsed/>
    <w:qFormat/>
    <w:rsid w:val="00377748"/>
    <w:pPr>
      <w:spacing w:lineRule="auto" w:line="240" w:before="0" w:after="0"/>
    </w:pPr>
    <w:rPr>
      <w:rFonts w:ascii="Tahoma" w:hAnsi="Tahoma" w:eastAsia="Times New Roman" w:cs="Tahoma"/>
      <w:sz w:val="16"/>
      <w:szCs w:val="16"/>
      <w:lang w:eastAsia="ru-RU"/>
    </w:rPr>
  </w:style>
  <w:style w:type="paragraph" w:styleId="NoSpacing">
    <w:name w:val="No Spacing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ar-SA" w:bidi="ar-SA"/>
    </w:rPr>
  </w:style>
  <w:style w:type="paragraph" w:styleId="Caption">
    <w:name w:val="caption"/>
    <w:basedOn w:val="Normal"/>
    <w:uiPriority w:val="35"/>
    <w:qFormat/>
    <w:rsid w:val="00377748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Droid Sans Fallback" w:cs="Lohit Hindi"/>
      <w:i/>
      <w:iCs/>
      <w:sz w:val="24"/>
      <w:szCs w:val="24"/>
      <w:lang w:eastAsia="zh-CN" w:bidi="hi-IN"/>
    </w:rPr>
  </w:style>
  <w:style w:type="paragraph" w:styleId="23" w:customStyle="1">
    <w:name w:val="Указатель2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12" w:customStyle="1">
    <w:name w:val="Название объекта1"/>
    <w:basedOn w:val="Normal"/>
    <w:qFormat/>
    <w:rsid w:val="00377748"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Droid Sans Fallback" w:cs="Lohit Hindi"/>
      <w:i/>
      <w:iCs/>
      <w:sz w:val="24"/>
      <w:szCs w:val="24"/>
      <w:lang w:eastAsia="zh-CN" w:bidi="hi-IN"/>
    </w:rPr>
  </w:style>
  <w:style w:type="paragraph" w:styleId="13" w:customStyle="1">
    <w:name w:val="Указатель1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ConsPlusNormal" w:customStyle="1">
    <w:name w:val="ConsPlusNormal"/>
    <w:uiPriority w:val="99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Cell" w:customStyle="1">
    <w:name w:val="ConsPlusCell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Nonformat" w:customStyle="1">
    <w:name w:val="ConsPlusNonformat"/>
    <w:uiPriority w:val="99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Title" w:customStyle="1">
    <w:name w:val="ConsPlusTitle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b/>
      <w:color w:val="00000A"/>
      <w:kern w:val="0"/>
      <w:sz w:val="16"/>
      <w:szCs w:val="24"/>
      <w:lang w:val="ru-RU" w:eastAsia="zh-CN" w:bidi="hi-IN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e"/>
    <w:uiPriority w:val="99"/>
    <w:rsid w:val="00377748"/>
    <w:pPr>
      <w:widowControl w:val="false"/>
      <w:suppressLineNumbers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7">
    <w:name w:val="Footer"/>
    <w:basedOn w:val="Normal"/>
    <w:link w:val="af0"/>
    <w:uiPriority w:val="99"/>
    <w:rsid w:val="00377748"/>
    <w:pPr>
      <w:widowControl w:val="false"/>
      <w:suppressLineNumbers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8" w:customStyle="1">
    <w:name w:val="Содержимое таблицы"/>
    <w:basedOn w:val="Normal"/>
    <w:qFormat/>
    <w:rsid w:val="00377748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sz w:val="24"/>
      <w:szCs w:val="24"/>
      <w:lang w:eastAsia="zh-CN" w:bidi="hi-IN"/>
    </w:rPr>
  </w:style>
  <w:style w:type="paragraph" w:styleId="Style29" w:customStyle="1">
    <w:name w:val="Заголовок таблицы"/>
    <w:basedOn w:val="Style28"/>
    <w:qFormat/>
    <w:rsid w:val="00377748"/>
    <w:pPr>
      <w:jc w:val="center"/>
    </w:pPr>
    <w:rPr>
      <w:b/>
      <w:bCs/>
    </w:rPr>
  </w:style>
  <w:style w:type="paragraph" w:styleId="ConsPlusNormal1" w:customStyle="1">
    <w:name w:val="ConsPlusNormal1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ConsPlusNonformat1" w:customStyle="1">
    <w:name w:val="ConsPlusNonformat1"/>
    <w:qFormat/>
    <w:rsid w:val="00377748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Tahoma"/>
      <w:color w:val="00000A"/>
      <w:kern w:val="0"/>
      <w:sz w:val="20"/>
      <w:szCs w:val="24"/>
      <w:lang w:val="ru-RU" w:eastAsia="zh-CN" w:bidi="hi-IN"/>
    </w:rPr>
  </w:style>
  <w:style w:type="paragraph" w:styleId="ListParagraph">
    <w:name w:val="List Paragraph"/>
    <w:basedOn w:val="Normal"/>
    <w:uiPriority w:val="34"/>
    <w:qFormat/>
    <w:rsid w:val="00377748"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Style30">
    <w:name w:val="Body Text Indent"/>
    <w:basedOn w:val="Normal"/>
    <w:link w:val="af5"/>
    <w:uiPriority w:val="99"/>
    <w:unhideWhenUsed/>
    <w:rsid w:val="00377748"/>
    <w:pPr>
      <w:spacing w:before="0" w:after="120"/>
      <w:ind w:left="283" w:hanging="0"/>
    </w:pPr>
    <w:rPr>
      <w:rFonts w:ascii="Calibri" w:hAnsi="Calibri" w:eastAsia="Times New Roman" w:cs="Times New Roman"/>
      <w:lang w:eastAsia="ru-RU"/>
    </w:rPr>
  </w:style>
  <w:style w:type="paragraph" w:styleId="BodyText2">
    <w:name w:val="Body Text 2"/>
    <w:basedOn w:val="Normal"/>
    <w:link w:val="23"/>
    <w:uiPriority w:val="99"/>
    <w:unhideWhenUsed/>
    <w:qFormat/>
    <w:rsid w:val="00377748"/>
    <w:pPr>
      <w:spacing w:lineRule="auto" w:line="480" w:before="0" w:after="120"/>
    </w:pPr>
    <w:rPr>
      <w:rFonts w:ascii="Calibri" w:hAnsi="Calibri" w:eastAsia="Times New Roman" w:cs="Times New Roman"/>
      <w:lang w:eastAsia="ru-RU"/>
    </w:rPr>
  </w:style>
  <w:style w:type="paragraph" w:styleId="NormalWeb">
    <w:name w:val="Normal (Web)"/>
    <w:basedOn w:val="Normal"/>
    <w:unhideWhenUsed/>
    <w:qFormat/>
    <w:rsid w:val="0037774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Nonformat" w:customStyle="1">
    <w:name w:val="ConsNonformat"/>
    <w:qFormat/>
    <w:rsid w:val="0037774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00000A"/>
      <w:kern w:val="0"/>
      <w:sz w:val="20"/>
      <w:szCs w:val="20"/>
      <w:lang w:val="ru-RU" w:eastAsia="ru-RU" w:bidi="ar-SA"/>
    </w:rPr>
  </w:style>
  <w:style w:type="paragraph" w:styleId="311" w:customStyle="1">
    <w:name w:val="Основной текст с отступом 31"/>
    <w:basedOn w:val="Normal"/>
    <w:qFormat/>
    <w:rsid w:val="00377748"/>
    <w:pPr>
      <w:widowControl w:val="false"/>
      <w:tabs>
        <w:tab w:val="clear" w:pos="708"/>
        <w:tab w:val="left" w:pos="4395" w:leader="none"/>
      </w:tabs>
      <w:suppressAutoHyphens w:val="true"/>
      <w:spacing w:lineRule="auto" w:line="240" w:before="60" w:after="0"/>
      <w:ind w:firstLine="709"/>
      <w:jc w:val="both"/>
    </w:pPr>
    <w:rPr>
      <w:rFonts w:ascii="Times New Roman" w:hAnsi="Times New Roman" w:eastAsia="Lucida Sans Unicode" w:cs="Times New Roman"/>
      <w:color w:val="000000"/>
      <w:sz w:val="28"/>
      <w:szCs w:val="28"/>
      <w:lang w:eastAsia="ru-RU"/>
    </w:rPr>
  </w:style>
  <w:style w:type="paragraph" w:styleId="BodyText3">
    <w:name w:val="Body Text 3"/>
    <w:basedOn w:val="Normal"/>
    <w:link w:val="30"/>
    <w:uiPriority w:val="99"/>
    <w:unhideWhenUsed/>
    <w:qFormat/>
    <w:rsid w:val="00377748"/>
    <w:pPr>
      <w:spacing w:before="0" w:after="120"/>
    </w:pPr>
    <w:rPr>
      <w:rFonts w:ascii="Calibri" w:hAnsi="Calibri" w:eastAsia="Times New Roman" w:cs="Calibri"/>
      <w:sz w:val="16"/>
      <w:szCs w:val="16"/>
    </w:rPr>
  </w:style>
  <w:style w:type="paragraph" w:styleId="BodyTextIndent3">
    <w:name w:val="Body Text Indent 3"/>
    <w:basedOn w:val="Normal"/>
    <w:link w:val="33"/>
    <w:uiPriority w:val="99"/>
    <w:semiHidden/>
    <w:unhideWhenUsed/>
    <w:qFormat/>
    <w:rsid w:val="00f91ff5"/>
    <w:pPr>
      <w:spacing w:before="0" w:after="120"/>
      <w:ind w:left="283" w:hanging="0"/>
    </w:pPr>
    <w:rPr>
      <w:sz w:val="16"/>
      <w:szCs w:val="16"/>
    </w:rPr>
  </w:style>
  <w:style w:type="paragraph" w:styleId="Style3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Нет списка1"/>
    <w:uiPriority w:val="99"/>
    <w:semiHidden/>
    <w:unhideWhenUsed/>
    <w:qFormat/>
    <w:rsid w:val="00377748"/>
  </w:style>
  <w:style w:type="numbering" w:styleId="24" w:customStyle="1">
    <w:name w:val="Нет списка2"/>
    <w:uiPriority w:val="99"/>
    <w:semiHidden/>
    <w:unhideWhenUsed/>
    <w:qFormat/>
    <w:rsid w:val="003967bf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77748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12ACD-73E1-40A2-B3AD-22BE0C10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Application>LibreOffice/6.3.1.2$Linux_X86_64 LibreOffice_project/30$Build-2</Application>
  <Pages>28</Pages>
  <Words>4287</Words>
  <Characters>32024</Characters>
  <CharactersWithSpaces>36323</CharactersWithSpaces>
  <Paragraphs>711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2017-12-25T04:45:00Z</dcterms:created>
  <dc:creator>user</dc:creator>
  <dc:description/>
  <dc:language>ru-RU</dc:language>
  <cp:lastModifiedBy/>
  <cp:lastPrinted>2021-02-19T15:05:24Z</cp:lastPrinted>
  <dcterms:modified xsi:type="dcterms:W3CDTF">2021-03-04T10:50:33Z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